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9B" w:rsidRDefault="00074F1F" w:rsidP="005F3044">
      <w:pPr>
        <w:overflowPunct/>
        <w:jc w:val="center"/>
        <w:textAlignment w:val="auto"/>
        <w:rPr>
          <w:rFonts w:ascii="Arial" w:hAnsi="Arial" w:cs="Arial"/>
          <w:b/>
          <w:bCs/>
          <w:color w:val="000000"/>
          <w:sz w:val="22"/>
          <w:szCs w:val="26"/>
          <w:lang w:val="en-US"/>
        </w:rPr>
      </w:pPr>
      <w:r>
        <w:rPr>
          <w:rFonts w:ascii="Arial" w:hAnsi="Arial" w:cs="Arial"/>
          <w:noProof/>
          <w:color w:val="3B3839"/>
          <w:sz w:val="22"/>
          <w:szCs w:val="19"/>
          <w:lang w:eastAsia="en-GB"/>
        </w:rPr>
        <w:drawing>
          <wp:anchor distT="0" distB="0" distL="114300" distR="114300" simplePos="0" relativeHeight="251658240" behindDoc="0" locked="0" layoutInCell="1" allowOverlap="1" wp14:anchorId="731482D4" wp14:editId="74EC02BD">
            <wp:simplePos x="0" y="0"/>
            <wp:positionH relativeFrom="page">
              <wp:posOffset>5545004</wp:posOffset>
            </wp:positionH>
            <wp:positionV relativeFrom="paragraph">
              <wp:posOffset>-828839</wp:posOffset>
            </wp:positionV>
            <wp:extent cx="1951835" cy="501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1835" cy="501445"/>
                    </a:xfrm>
                    <a:prstGeom prst="rect">
                      <a:avLst/>
                    </a:prstGeom>
                  </pic:spPr>
                </pic:pic>
              </a:graphicData>
            </a:graphic>
            <wp14:sizeRelH relativeFrom="margin">
              <wp14:pctWidth>0</wp14:pctWidth>
            </wp14:sizeRelH>
            <wp14:sizeRelV relativeFrom="margin">
              <wp14:pctHeight>0</wp14:pctHeight>
            </wp14:sizeRelV>
          </wp:anchor>
        </w:drawing>
      </w:r>
    </w:p>
    <w:p w:rsidR="005F3044" w:rsidRPr="0063139B" w:rsidRDefault="005F3044" w:rsidP="005F3044">
      <w:pPr>
        <w:overflowPunct/>
        <w:jc w:val="center"/>
        <w:textAlignment w:val="auto"/>
        <w:rPr>
          <w:rFonts w:ascii="Arial" w:hAnsi="Arial" w:cs="Arial"/>
          <w:b/>
          <w:bCs/>
          <w:color w:val="000000"/>
          <w:sz w:val="28"/>
          <w:szCs w:val="28"/>
          <w:lang w:val="en-US"/>
        </w:rPr>
      </w:pPr>
      <w:r w:rsidRPr="0063139B">
        <w:rPr>
          <w:rFonts w:ascii="Arial" w:hAnsi="Arial" w:cs="Arial"/>
          <w:b/>
          <w:bCs/>
          <w:color w:val="000000"/>
          <w:sz w:val="28"/>
          <w:szCs w:val="28"/>
          <w:lang w:val="en-US"/>
        </w:rPr>
        <w:t>Fraud Indicators</w:t>
      </w:r>
    </w:p>
    <w:p w:rsidR="005F3044" w:rsidRDefault="005F3044" w:rsidP="005F3044">
      <w:pPr>
        <w:overflowPunct/>
        <w:textAlignment w:val="auto"/>
        <w:rPr>
          <w:rFonts w:ascii="Arial" w:hAnsi="Arial" w:cs="Arial"/>
          <w:color w:val="3B3839"/>
          <w:sz w:val="22"/>
          <w:szCs w:val="19"/>
          <w:lang w:val="en-US"/>
        </w:rPr>
      </w:pPr>
    </w:p>
    <w:p w:rsidR="000101A8" w:rsidRPr="000101A8" w:rsidRDefault="005F3044" w:rsidP="000101A8">
      <w:pPr>
        <w:overflowPunct/>
        <w:textAlignment w:val="auto"/>
        <w:rPr>
          <w:rFonts w:ascii="Arial" w:hAnsi="Arial" w:cs="Arial"/>
          <w:color w:val="3B3839"/>
          <w:sz w:val="22"/>
          <w:szCs w:val="19"/>
          <w:lang w:val="en-US"/>
        </w:rPr>
      </w:pPr>
      <w:r>
        <w:rPr>
          <w:rFonts w:ascii="Arial" w:hAnsi="Arial" w:cs="Arial"/>
          <w:color w:val="3B3839"/>
          <w:sz w:val="22"/>
          <w:szCs w:val="19"/>
          <w:lang w:val="en-US"/>
        </w:rPr>
        <w:t xml:space="preserve">A number of frauds can come to light because of suspicions aroused by, for instance, the behavior of certain individuals. Managers and staff should also be alert to any warning signs that might indicate that fraud is taking place. </w:t>
      </w:r>
      <w:r w:rsidR="000101A8" w:rsidRPr="000101A8">
        <w:rPr>
          <w:rFonts w:ascii="Arial" w:hAnsi="Arial" w:cs="Arial"/>
          <w:color w:val="3B3839"/>
          <w:sz w:val="22"/>
          <w:szCs w:val="19"/>
          <w:lang w:val="en-US"/>
        </w:rPr>
        <w:t xml:space="preserve">These should not be taken alone as evidence that fraud is occurring within the </w:t>
      </w:r>
      <w:proofErr w:type="spellStart"/>
      <w:r w:rsidR="000101A8" w:rsidRPr="000101A8">
        <w:rPr>
          <w:rFonts w:ascii="Arial" w:hAnsi="Arial" w:cs="Arial"/>
          <w:color w:val="3B3839"/>
          <w:sz w:val="22"/>
          <w:szCs w:val="19"/>
          <w:lang w:val="en-US"/>
        </w:rPr>
        <w:t>organisation</w:t>
      </w:r>
      <w:proofErr w:type="spellEnd"/>
      <w:r w:rsidR="000101A8" w:rsidRPr="000101A8">
        <w:rPr>
          <w:rFonts w:ascii="Arial" w:hAnsi="Arial" w:cs="Arial"/>
          <w:color w:val="3B3839"/>
          <w:sz w:val="22"/>
          <w:szCs w:val="19"/>
          <w:lang w:val="en-US"/>
        </w:rPr>
        <w:t>; there may be other legitimate explanations for the occurrence of these indicators.</w:t>
      </w:r>
    </w:p>
    <w:p w:rsidR="000101A8" w:rsidRDefault="000101A8" w:rsidP="000101A8">
      <w:pPr>
        <w:overflowPunct/>
        <w:textAlignment w:val="auto"/>
        <w:rPr>
          <w:rFonts w:ascii="Arial" w:hAnsi="Arial" w:cs="Arial"/>
          <w:color w:val="3B3839"/>
          <w:sz w:val="22"/>
          <w:szCs w:val="19"/>
          <w:lang w:val="en-US"/>
        </w:rPr>
      </w:pPr>
    </w:p>
    <w:p w:rsidR="005F3044" w:rsidRDefault="005F3044" w:rsidP="000101A8">
      <w:pPr>
        <w:overflowPunct/>
        <w:textAlignment w:val="auto"/>
        <w:rPr>
          <w:rFonts w:ascii="Arial" w:hAnsi="Arial" w:cs="Arial"/>
          <w:color w:val="3B3839"/>
          <w:sz w:val="22"/>
          <w:szCs w:val="19"/>
          <w:lang w:val="en-US"/>
        </w:rPr>
      </w:pPr>
      <w:r>
        <w:rPr>
          <w:rFonts w:ascii="Arial" w:hAnsi="Arial" w:cs="Arial"/>
          <w:color w:val="3B3839"/>
          <w:sz w:val="22"/>
          <w:szCs w:val="19"/>
          <w:lang w:val="en-US"/>
        </w:rPr>
        <w:t xml:space="preserve">These </w:t>
      </w:r>
      <w:r w:rsidR="000101A8">
        <w:rPr>
          <w:rFonts w:ascii="Arial" w:hAnsi="Arial" w:cs="Arial"/>
          <w:color w:val="3B3839"/>
          <w:sz w:val="22"/>
          <w:szCs w:val="19"/>
          <w:lang w:val="en-US"/>
        </w:rPr>
        <w:t>indicators include</w:t>
      </w:r>
      <w:r>
        <w:rPr>
          <w:rFonts w:ascii="Arial" w:hAnsi="Arial" w:cs="Arial"/>
          <w:color w:val="3B3839"/>
          <w:sz w:val="22"/>
          <w:szCs w:val="19"/>
          <w:lang w:val="en-US"/>
        </w:rPr>
        <w:t>:</w:t>
      </w:r>
    </w:p>
    <w:p w:rsidR="005F3044" w:rsidRDefault="005F3044" w:rsidP="005F3044">
      <w:pPr>
        <w:overflowPunct/>
        <w:textAlignment w:val="auto"/>
        <w:rPr>
          <w:rFonts w:ascii="Arial" w:hAnsi="Arial" w:cs="Arial"/>
          <w:color w:val="000000"/>
          <w:sz w:val="22"/>
          <w:szCs w:val="19"/>
          <w:lang w:val="en-US"/>
        </w:rPr>
      </w:pPr>
    </w:p>
    <w:p w:rsidR="003078D7" w:rsidRPr="003078D7" w:rsidRDefault="003078D7" w:rsidP="005F3044">
      <w:pPr>
        <w:overflowPunct/>
        <w:textAlignment w:val="auto"/>
        <w:rPr>
          <w:rFonts w:ascii="Arial" w:hAnsi="Arial" w:cs="Arial"/>
          <w:b/>
          <w:color w:val="000000"/>
          <w:sz w:val="22"/>
          <w:szCs w:val="19"/>
          <w:lang w:val="en-US"/>
        </w:rPr>
      </w:pPr>
      <w:proofErr w:type="spellStart"/>
      <w:r w:rsidRPr="003078D7">
        <w:rPr>
          <w:rFonts w:ascii="Arial" w:hAnsi="Arial" w:cs="Arial"/>
          <w:b/>
          <w:color w:val="000000"/>
          <w:sz w:val="22"/>
          <w:szCs w:val="19"/>
          <w:lang w:val="en-US"/>
        </w:rPr>
        <w:t>Behavioural</w:t>
      </w:r>
      <w:proofErr w:type="spellEnd"/>
      <w:r w:rsidR="00074F1F">
        <w:rPr>
          <w:rFonts w:ascii="Arial" w:hAnsi="Arial" w:cs="Arial"/>
          <w:b/>
          <w:color w:val="000000"/>
          <w:sz w:val="22"/>
          <w:szCs w:val="19"/>
          <w:lang w:val="en-US"/>
        </w:rPr>
        <w:t xml:space="preserve"> Indicators of Fraud</w:t>
      </w:r>
    </w:p>
    <w:p w:rsidR="003078D7" w:rsidRDefault="003078D7" w:rsidP="005F3044">
      <w:pPr>
        <w:overflowPunct/>
        <w:textAlignment w:val="auto"/>
        <w:rPr>
          <w:rFonts w:ascii="Arial" w:hAnsi="Arial" w:cs="Arial"/>
          <w:color w:val="000000"/>
          <w:sz w:val="22"/>
          <w:szCs w:val="19"/>
          <w:lang w:val="en-US"/>
        </w:rPr>
      </w:pP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Staff under stress without a high workload.</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First to arrive in the morning, last to leave at night</w:t>
      </w:r>
      <w:r w:rsidR="0063139B">
        <w:rPr>
          <w:rFonts w:ascii="Arial" w:hAnsi="Arial" w:cs="Arial"/>
          <w:color w:val="3B3839"/>
          <w:sz w:val="22"/>
          <w:szCs w:val="19"/>
          <w:lang w:val="en-US"/>
        </w:rPr>
        <w:t xml:space="preserve"> i.e.</w:t>
      </w:r>
      <w:r w:rsidR="0063139B" w:rsidRPr="0063139B">
        <w:rPr>
          <w:rFonts w:ascii="Arial" w:hAnsi="Arial" w:cs="Arial"/>
          <w:color w:val="3B3839"/>
          <w:sz w:val="22"/>
          <w:szCs w:val="19"/>
          <w:lang w:val="en-US"/>
        </w:rPr>
        <w:t xml:space="preserve"> </w:t>
      </w:r>
      <w:r w:rsidR="0063139B">
        <w:rPr>
          <w:rFonts w:ascii="Arial" w:hAnsi="Arial" w:cs="Arial"/>
          <w:color w:val="3B3839"/>
          <w:sz w:val="22"/>
          <w:szCs w:val="19"/>
          <w:lang w:val="en-US"/>
        </w:rPr>
        <w:t>regular long-hours working</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Egotistical (e.g. scornful of system controls).</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A risk taker or rule breaker</w:t>
      </w:r>
      <w:r w:rsidR="00A52318">
        <w:rPr>
          <w:rFonts w:ascii="Arial" w:hAnsi="Arial" w:cs="Arial"/>
          <w:color w:val="3B3839"/>
          <w:sz w:val="22"/>
          <w:szCs w:val="19"/>
          <w:lang w:val="en-US"/>
        </w:rPr>
        <w:t>, perhaps a ‘Wheeler dealer’ attitude</w:t>
      </w:r>
      <w:r>
        <w:rPr>
          <w:rFonts w:ascii="Arial" w:hAnsi="Arial" w:cs="Arial"/>
          <w:color w:val="3B3839"/>
          <w:sz w:val="22"/>
          <w:szCs w:val="19"/>
          <w:lang w:val="en-US"/>
        </w:rPr>
        <w:t>.</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Reluctance to take leave.</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Refusal of promotion.</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Sudden change of lifestyle</w:t>
      </w:r>
      <w:r w:rsidR="00A52318">
        <w:rPr>
          <w:rFonts w:ascii="Arial" w:hAnsi="Arial" w:cs="Arial"/>
          <w:color w:val="3B3839"/>
          <w:sz w:val="22"/>
          <w:szCs w:val="19"/>
          <w:lang w:val="en-US"/>
        </w:rPr>
        <w:t xml:space="preserve"> with unexplained wealth</w:t>
      </w:r>
      <w:r>
        <w:rPr>
          <w:rFonts w:ascii="Arial" w:hAnsi="Arial" w:cs="Arial"/>
          <w:color w:val="3B3839"/>
          <w:sz w:val="22"/>
          <w:szCs w:val="19"/>
          <w:lang w:val="en-US"/>
        </w:rPr>
        <w:t>.</w:t>
      </w:r>
    </w:p>
    <w:p w:rsidR="005F3044" w:rsidRDefault="005F3044" w:rsidP="005F3044">
      <w:pPr>
        <w:overflowPunct/>
        <w:textAlignment w:val="auto"/>
        <w:rPr>
          <w:rFonts w:ascii="Arial" w:hAnsi="Arial" w:cs="Arial"/>
          <w:color w:val="3B3839"/>
          <w:sz w:val="22"/>
          <w:szCs w:val="19"/>
          <w:lang w:val="en-US"/>
        </w:rPr>
      </w:pPr>
      <w:proofErr w:type="spellStart"/>
      <w:r>
        <w:rPr>
          <w:rFonts w:ascii="Arial" w:hAnsi="Arial" w:cs="Arial"/>
          <w:color w:val="3B3839"/>
          <w:sz w:val="22"/>
          <w:szCs w:val="19"/>
          <w:lang w:val="en-US"/>
        </w:rPr>
        <w:t>Cosy</w:t>
      </w:r>
      <w:proofErr w:type="spellEnd"/>
      <w:r w:rsidR="0027765F">
        <w:rPr>
          <w:rFonts w:ascii="Arial" w:hAnsi="Arial" w:cs="Arial"/>
          <w:color w:val="3B3839"/>
          <w:sz w:val="22"/>
          <w:szCs w:val="19"/>
          <w:lang w:val="en-US"/>
        </w:rPr>
        <w:t xml:space="preserve"> </w:t>
      </w:r>
      <w:r>
        <w:rPr>
          <w:rFonts w:ascii="Arial" w:hAnsi="Arial" w:cs="Arial"/>
          <w:color w:val="3B3839"/>
          <w:sz w:val="22"/>
          <w:szCs w:val="19"/>
          <w:lang w:val="en-US"/>
        </w:rPr>
        <w:t>relationships with suppliers/contractors.</w:t>
      </w:r>
    </w:p>
    <w:p w:rsidR="005F3044" w:rsidRDefault="008668B2"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Dissatisfied/unhappy employee</w:t>
      </w:r>
      <w:r w:rsidR="005F3044">
        <w:rPr>
          <w:rFonts w:ascii="Arial" w:hAnsi="Arial" w:cs="Arial"/>
          <w:color w:val="3B3839"/>
          <w:sz w:val="22"/>
          <w:szCs w:val="19"/>
          <w:lang w:val="en-US"/>
        </w:rPr>
        <w:t>, a complainer.</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 xml:space="preserve">Greedy or has </w:t>
      </w:r>
      <w:r w:rsidR="0063139B">
        <w:rPr>
          <w:rFonts w:ascii="Arial" w:hAnsi="Arial" w:cs="Arial"/>
          <w:color w:val="3B3839"/>
          <w:sz w:val="22"/>
          <w:szCs w:val="19"/>
          <w:lang w:val="en-US"/>
        </w:rPr>
        <w:t xml:space="preserve">suffering </w:t>
      </w:r>
      <w:r>
        <w:rPr>
          <w:rFonts w:ascii="Arial" w:hAnsi="Arial" w:cs="Arial"/>
          <w:color w:val="3B3839"/>
          <w:sz w:val="22"/>
          <w:szCs w:val="19"/>
          <w:lang w:val="en-US"/>
        </w:rPr>
        <w:t xml:space="preserve">genuine financial </w:t>
      </w:r>
      <w:r w:rsidR="0063139B">
        <w:rPr>
          <w:rFonts w:ascii="Arial" w:hAnsi="Arial" w:cs="Arial"/>
          <w:color w:val="3B3839"/>
          <w:sz w:val="22"/>
          <w:szCs w:val="19"/>
          <w:lang w:val="en-US"/>
        </w:rPr>
        <w:t>difficulties</w:t>
      </w:r>
      <w:r>
        <w:rPr>
          <w:rFonts w:ascii="Arial" w:hAnsi="Arial" w:cs="Arial"/>
          <w:color w:val="3B3839"/>
          <w:sz w:val="22"/>
          <w:szCs w:val="19"/>
          <w:lang w:val="en-US"/>
        </w:rPr>
        <w:t>.</w:t>
      </w:r>
    </w:p>
    <w:p w:rsidR="0063139B" w:rsidRDefault="0063139B"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Living Beyond their means</w:t>
      </w:r>
    </w:p>
    <w:p w:rsidR="0063139B" w:rsidRDefault="0063139B"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Poor attitude to controls</w:t>
      </w:r>
    </w:p>
    <w:p w:rsidR="0063139B" w:rsidRDefault="0063139B" w:rsidP="0063139B">
      <w:pPr>
        <w:overflowPunct/>
        <w:textAlignment w:val="auto"/>
        <w:rPr>
          <w:rFonts w:ascii="Arial" w:hAnsi="Arial" w:cs="Arial"/>
          <w:color w:val="3B3839"/>
          <w:sz w:val="22"/>
          <w:szCs w:val="19"/>
          <w:lang w:val="en-US"/>
        </w:rPr>
      </w:pPr>
      <w:r>
        <w:rPr>
          <w:rFonts w:ascii="Arial" w:hAnsi="Arial" w:cs="Arial"/>
          <w:color w:val="3B3839"/>
          <w:sz w:val="22"/>
          <w:szCs w:val="19"/>
          <w:lang w:val="en-US"/>
        </w:rPr>
        <w:t xml:space="preserve">Unwilling to share tasks e.g. a supervisor who opens all incoming mail, </w:t>
      </w:r>
    </w:p>
    <w:p w:rsidR="0063139B" w:rsidRDefault="0063139B" w:rsidP="0063139B">
      <w:pPr>
        <w:overflowPunct/>
        <w:textAlignment w:val="auto"/>
        <w:rPr>
          <w:rFonts w:ascii="Arial" w:hAnsi="Arial" w:cs="Arial"/>
          <w:color w:val="3B3839"/>
          <w:sz w:val="22"/>
          <w:szCs w:val="19"/>
          <w:lang w:val="en-US"/>
        </w:rPr>
      </w:pPr>
      <w:r>
        <w:rPr>
          <w:rFonts w:ascii="Arial" w:hAnsi="Arial" w:cs="Arial"/>
          <w:color w:val="3B3839"/>
          <w:sz w:val="22"/>
          <w:szCs w:val="19"/>
          <w:lang w:val="en-US"/>
        </w:rPr>
        <w:t xml:space="preserve">managers by-passing subordinates, </w:t>
      </w:r>
    </w:p>
    <w:p w:rsidR="008668B2" w:rsidRDefault="0063139B" w:rsidP="0063139B">
      <w:pPr>
        <w:overflowPunct/>
        <w:textAlignment w:val="auto"/>
        <w:rPr>
          <w:rFonts w:ascii="Arial" w:hAnsi="Arial" w:cs="Arial"/>
          <w:color w:val="3B3839"/>
          <w:sz w:val="22"/>
          <w:szCs w:val="19"/>
          <w:lang w:val="en-US"/>
        </w:rPr>
      </w:pPr>
      <w:r>
        <w:rPr>
          <w:rFonts w:ascii="Arial" w:hAnsi="Arial" w:cs="Arial"/>
          <w:color w:val="3B3839"/>
          <w:sz w:val="22"/>
          <w:szCs w:val="19"/>
          <w:lang w:val="en-US"/>
        </w:rPr>
        <w:t xml:space="preserve">subordinates by-passing managers, </w:t>
      </w:r>
    </w:p>
    <w:p w:rsidR="003078D7" w:rsidRDefault="003078D7" w:rsidP="0063139B">
      <w:pPr>
        <w:overflowPunct/>
        <w:textAlignment w:val="auto"/>
        <w:rPr>
          <w:rFonts w:ascii="Arial" w:hAnsi="Arial" w:cs="Arial"/>
          <w:color w:val="3B3839"/>
          <w:sz w:val="22"/>
          <w:szCs w:val="19"/>
          <w:lang w:val="en-US"/>
        </w:rPr>
      </w:pPr>
      <w:r>
        <w:rPr>
          <w:rFonts w:ascii="Arial" w:hAnsi="Arial" w:cs="Arial"/>
          <w:color w:val="3B3839"/>
          <w:sz w:val="22"/>
          <w:szCs w:val="19"/>
          <w:lang w:val="en-US"/>
        </w:rPr>
        <w:t xml:space="preserve">secretiveness or </w:t>
      </w:r>
      <w:r w:rsidR="00A52318">
        <w:rPr>
          <w:rFonts w:ascii="Arial" w:hAnsi="Arial" w:cs="Arial"/>
          <w:color w:val="3B3839"/>
          <w:sz w:val="22"/>
          <w:szCs w:val="19"/>
          <w:lang w:val="en-US"/>
        </w:rPr>
        <w:t>defensiveness</w:t>
      </w:r>
    </w:p>
    <w:p w:rsidR="003078D7" w:rsidRDefault="003078D7" w:rsidP="0063139B">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 xml:space="preserve">Employees who delay providing information or who provide different answers to different people. </w:t>
      </w:r>
    </w:p>
    <w:p w:rsidR="003078D7" w:rsidRDefault="003078D7" w:rsidP="0063139B">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 xml:space="preserve">Employees who ask to defer internal audits or inspections to ‘properly prepare’. </w:t>
      </w:r>
    </w:p>
    <w:p w:rsidR="00A52318" w:rsidRDefault="00A52318" w:rsidP="00A52318">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Employees who request significant detail about proposed internal audit scopes or inspections.</w:t>
      </w:r>
    </w:p>
    <w:p w:rsidR="003078D7" w:rsidRDefault="003078D7" w:rsidP="0063139B">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 xml:space="preserve">Employees with new and unusual relationships with other individuals or departments within the </w:t>
      </w:r>
      <w:proofErr w:type="spellStart"/>
      <w:r w:rsidRPr="00985D77">
        <w:rPr>
          <w:rFonts w:ascii="Arial" w:hAnsi="Arial" w:cs="Arial"/>
          <w:color w:val="3B3839"/>
          <w:sz w:val="22"/>
          <w:szCs w:val="19"/>
          <w:lang w:val="en-US"/>
        </w:rPr>
        <w:t>organisation</w:t>
      </w:r>
      <w:proofErr w:type="spellEnd"/>
      <w:r w:rsidRPr="00985D77">
        <w:rPr>
          <w:rFonts w:ascii="Arial" w:hAnsi="Arial" w:cs="Arial"/>
          <w:color w:val="3B3839"/>
          <w:sz w:val="22"/>
          <w:szCs w:val="19"/>
          <w:lang w:val="en-US"/>
        </w:rPr>
        <w:t xml:space="preserve">. </w:t>
      </w:r>
    </w:p>
    <w:p w:rsidR="001572EA" w:rsidRDefault="001572EA" w:rsidP="001572EA">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Employees who appear to make a greater than normal number of mistakes, especially where these lead to financial loss through cash or account transactions.</w:t>
      </w:r>
    </w:p>
    <w:p w:rsidR="001572EA" w:rsidRDefault="001572EA" w:rsidP="001572EA">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 xml:space="preserve">Employees with competing or undeclared external business interests. </w:t>
      </w:r>
    </w:p>
    <w:p w:rsidR="001572EA" w:rsidRDefault="001572EA" w:rsidP="001572EA">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 xml:space="preserve">Employees who submit inconsistent and/or unreasonable expense claims. </w:t>
      </w:r>
    </w:p>
    <w:p w:rsidR="001572EA" w:rsidRDefault="001572EA" w:rsidP="001572EA">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Employees at the highest level of performance (</w:t>
      </w:r>
      <w:proofErr w:type="spellStart"/>
      <w:r w:rsidRPr="00985D77">
        <w:rPr>
          <w:rFonts w:ascii="Arial" w:hAnsi="Arial" w:cs="Arial"/>
          <w:color w:val="3B3839"/>
          <w:sz w:val="22"/>
          <w:szCs w:val="19"/>
          <w:lang w:val="en-US"/>
        </w:rPr>
        <w:t>eg</w:t>
      </w:r>
      <w:proofErr w:type="spellEnd"/>
      <w:r w:rsidRPr="00985D77">
        <w:rPr>
          <w:rFonts w:ascii="Arial" w:hAnsi="Arial" w:cs="Arial"/>
          <w:color w:val="3B3839"/>
          <w:sz w:val="22"/>
          <w:szCs w:val="19"/>
          <w:lang w:val="en-US"/>
        </w:rPr>
        <w:t xml:space="preserve"> sales) where there might be a concern that they are achieving this through suspect activity.</w:t>
      </w:r>
    </w:p>
    <w:p w:rsidR="007B5269" w:rsidRDefault="007B5269" w:rsidP="001572EA">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 xml:space="preserve">Employees making procedural or computer-system enquiries inconsistent or not related to their normal duties. </w:t>
      </w:r>
    </w:p>
    <w:p w:rsidR="007B5269" w:rsidRDefault="007B5269" w:rsidP="001572EA">
      <w:pPr>
        <w:overflowPunct/>
        <w:textAlignment w:val="auto"/>
        <w:rPr>
          <w:rFonts w:ascii="Arial" w:hAnsi="Arial" w:cs="Arial"/>
          <w:color w:val="3B3839"/>
          <w:sz w:val="22"/>
          <w:szCs w:val="19"/>
          <w:lang w:val="en-US"/>
        </w:rPr>
      </w:pPr>
      <w:r>
        <w:rPr>
          <w:rFonts w:ascii="Arial" w:hAnsi="Arial" w:cs="Arial"/>
          <w:color w:val="3B3839"/>
          <w:sz w:val="22"/>
          <w:szCs w:val="19"/>
          <w:lang w:val="en-US"/>
        </w:rPr>
        <w:t>N</w:t>
      </w:r>
      <w:r w:rsidRPr="00985D77">
        <w:rPr>
          <w:rFonts w:ascii="Arial" w:hAnsi="Arial" w:cs="Arial"/>
          <w:color w:val="3B3839"/>
          <w:sz w:val="22"/>
          <w:szCs w:val="19"/>
          <w:lang w:val="en-US"/>
        </w:rPr>
        <w:t xml:space="preserve">ew employees with knowledge of industry procedures but no such experience disclosed on their CV. </w:t>
      </w:r>
    </w:p>
    <w:p w:rsidR="007B5269" w:rsidRPr="00985D77" w:rsidRDefault="007B5269" w:rsidP="001572EA">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Prospective employees who are reluctant to provide full background information or who provide inaccurate or inconsistent information.</w:t>
      </w:r>
    </w:p>
    <w:p w:rsidR="001572EA" w:rsidRDefault="001572EA" w:rsidP="001572EA">
      <w:pPr>
        <w:overflowPunct/>
        <w:textAlignment w:val="auto"/>
        <w:rPr>
          <w:rFonts w:ascii="Arial" w:hAnsi="Arial" w:cs="Arial"/>
          <w:color w:val="3B3839"/>
          <w:sz w:val="22"/>
          <w:szCs w:val="19"/>
          <w:lang w:val="en-US"/>
        </w:rPr>
      </w:pPr>
    </w:p>
    <w:p w:rsidR="00A52318" w:rsidRDefault="00A52318" w:rsidP="001572EA">
      <w:pPr>
        <w:overflowPunct/>
        <w:textAlignment w:val="auto"/>
        <w:rPr>
          <w:rFonts w:ascii="Arial" w:hAnsi="Arial" w:cs="Arial"/>
          <w:color w:val="3B3839"/>
          <w:sz w:val="22"/>
          <w:szCs w:val="19"/>
          <w:lang w:val="en-US"/>
        </w:rPr>
      </w:pPr>
    </w:p>
    <w:p w:rsidR="00A52318" w:rsidRDefault="00A52318" w:rsidP="001572EA">
      <w:pPr>
        <w:overflowPunct/>
        <w:textAlignment w:val="auto"/>
        <w:rPr>
          <w:rFonts w:ascii="Arial" w:hAnsi="Arial" w:cs="Arial"/>
          <w:color w:val="3B3839"/>
          <w:sz w:val="22"/>
          <w:szCs w:val="19"/>
          <w:lang w:val="en-US"/>
        </w:rPr>
      </w:pPr>
    </w:p>
    <w:p w:rsidR="00A52318" w:rsidRDefault="00A52318" w:rsidP="001572EA">
      <w:pPr>
        <w:overflowPunct/>
        <w:textAlignment w:val="auto"/>
        <w:rPr>
          <w:rFonts w:ascii="Arial" w:hAnsi="Arial" w:cs="Arial"/>
          <w:color w:val="3B3839"/>
          <w:sz w:val="22"/>
          <w:szCs w:val="19"/>
          <w:lang w:val="en-US"/>
        </w:rPr>
      </w:pPr>
    </w:p>
    <w:p w:rsidR="00A52318" w:rsidRDefault="00A52318" w:rsidP="001572EA">
      <w:pPr>
        <w:overflowPunct/>
        <w:textAlignment w:val="auto"/>
        <w:rPr>
          <w:rFonts w:ascii="Arial" w:hAnsi="Arial" w:cs="Arial"/>
          <w:color w:val="3B3839"/>
          <w:sz w:val="22"/>
          <w:szCs w:val="19"/>
          <w:lang w:val="en-US"/>
        </w:rPr>
      </w:pPr>
    </w:p>
    <w:p w:rsidR="00A52318" w:rsidRDefault="00A52318" w:rsidP="001572EA">
      <w:pPr>
        <w:overflowPunct/>
        <w:textAlignment w:val="auto"/>
        <w:rPr>
          <w:rFonts w:ascii="Arial" w:hAnsi="Arial" w:cs="Arial"/>
          <w:color w:val="3B3839"/>
          <w:sz w:val="22"/>
          <w:szCs w:val="19"/>
          <w:lang w:val="en-US"/>
        </w:rPr>
      </w:pPr>
    </w:p>
    <w:p w:rsidR="00B14AB7" w:rsidRDefault="00B14AB7" w:rsidP="00074F1F">
      <w:pPr>
        <w:overflowPunct/>
        <w:textAlignment w:val="auto"/>
        <w:rPr>
          <w:rFonts w:ascii="Arial" w:hAnsi="Arial" w:cs="Arial"/>
          <w:b/>
          <w:color w:val="3B3839"/>
          <w:sz w:val="22"/>
          <w:szCs w:val="19"/>
          <w:lang w:val="en-US"/>
        </w:rPr>
      </w:pPr>
      <w:r>
        <w:rPr>
          <w:rFonts w:ascii="Arial" w:hAnsi="Arial" w:cs="Arial"/>
          <w:noProof/>
          <w:color w:val="3B3839"/>
          <w:sz w:val="22"/>
          <w:szCs w:val="19"/>
          <w:lang w:eastAsia="en-GB"/>
        </w:rPr>
        <w:lastRenderedPageBreak/>
        <w:drawing>
          <wp:anchor distT="0" distB="0" distL="114300" distR="114300" simplePos="0" relativeHeight="251660288" behindDoc="0" locked="0" layoutInCell="1" allowOverlap="1" wp14:anchorId="5EADABAF" wp14:editId="47A052A2">
            <wp:simplePos x="0" y="0"/>
            <wp:positionH relativeFrom="page">
              <wp:posOffset>5545107</wp:posOffset>
            </wp:positionH>
            <wp:positionV relativeFrom="paragraph">
              <wp:posOffset>-830027</wp:posOffset>
            </wp:positionV>
            <wp:extent cx="1951835" cy="501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1835" cy="501445"/>
                    </a:xfrm>
                    <a:prstGeom prst="rect">
                      <a:avLst/>
                    </a:prstGeom>
                  </pic:spPr>
                </pic:pic>
              </a:graphicData>
            </a:graphic>
            <wp14:sizeRelH relativeFrom="margin">
              <wp14:pctWidth>0</wp14:pctWidth>
            </wp14:sizeRelH>
            <wp14:sizeRelV relativeFrom="margin">
              <wp14:pctHeight>0</wp14:pctHeight>
            </wp14:sizeRelV>
          </wp:anchor>
        </w:drawing>
      </w:r>
    </w:p>
    <w:p w:rsidR="0063139B" w:rsidRPr="00074F1F" w:rsidRDefault="001572EA" w:rsidP="00B14AB7">
      <w:pPr>
        <w:overflowPunct/>
        <w:spacing w:after="120"/>
        <w:textAlignment w:val="auto"/>
        <w:rPr>
          <w:rFonts w:ascii="Arial" w:hAnsi="Arial" w:cs="Arial"/>
          <w:b/>
          <w:color w:val="000000"/>
          <w:sz w:val="22"/>
          <w:szCs w:val="19"/>
          <w:lang w:val="en-US"/>
        </w:rPr>
      </w:pPr>
      <w:r w:rsidRPr="0027765F">
        <w:rPr>
          <w:rFonts w:ascii="Arial" w:hAnsi="Arial" w:cs="Arial"/>
          <w:b/>
          <w:color w:val="3B3839"/>
          <w:sz w:val="22"/>
          <w:szCs w:val="19"/>
          <w:lang w:val="en-US"/>
        </w:rPr>
        <w:t xml:space="preserve">Procedural </w:t>
      </w:r>
      <w:r w:rsidR="00074F1F">
        <w:rPr>
          <w:rFonts w:ascii="Arial" w:hAnsi="Arial" w:cs="Arial"/>
          <w:b/>
          <w:color w:val="000000"/>
          <w:sz w:val="22"/>
          <w:szCs w:val="19"/>
          <w:lang w:val="en-US"/>
        </w:rPr>
        <w:t>Indicators of Fraud</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Inadequate or no segregation of duties.</w:t>
      </w:r>
      <w:r w:rsidR="00074F1F" w:rsidRPr="00074F1F">
        <w:rPr>
          <w:rFonts w:ascii="Arial" w:hAnsi="Arial" w:cs="Arial"/>
          <w:noProof/>
          <w:color w:val="3B3839"/>
          <w:sz w:val="22"/>
          <w:szCs w:val="19"/>
          <w:lang w:eastAsia="en-GB"/>
        </w:rPr>
        <w:t xml:space="preserve"> </w:t>
      </w:r>
    </w:p>
    <w:p w:rsidR="004F6A66" w:rsidRDefault="004F6A66" w:rsidP="004F6A66">
      <w:pPr>
        <w:overflowPunct/>
        <w:textAlignment w:val="auto"/>
        <w:rPr>
          <w:rFonts w:ascii="Arial" w:hAnsi="Arial" w:cs="Arial"/>
          <w:color w:val="3B3839"/>
          <w:sz w:val="22"/>
          <w:szCs w:val="19"/>
          <w:lang w:val="en-US"/>
        </w:rPr>
      </w:pPr>
      <w:r>
        <w:rPr>
          <w:rFonts w:ascii="Arial" w:hAnsi="Arial" w:cs="Arial"/>
          <w:color w:val="3B3839"/>
          <w:sz w:val="22"/>
          <w:szCs w:val="19"/>
          <w:lang w:val="en-US"/>
        </w:rPr>
        <w:t>Lack of rotation of duties.</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Absence of controls and audit trails.</w:t>
      </w:r>
    </w:p>
    <w:p w:rsidR="004F6A66" w:rsidRDefault="004F6A66" w:rsidP="004F6A66">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Too much delegation by senior managers without proper review procedures</w:t>
      </w:r>
      <w:r>
        <w:rPr>
          <w:rFonts w:ascii="Arial" w:hAnsi="Arial" w:cs="Arial"/>
          <w:color w:val="3B3839"/>
          <w:sz w:val="22"/>
          <w:szCs w:val="19"/>
          <w:lang w:val="en-US"/>
        </w:rPr>
        <w:t xml:space="preserve"> </w:t>
      </w:r>
    </w:p>
    <w:p w:rsidR="004F6A66" w:rsidRDefault="004F6A66" w:rsidP="004F6A66">
      <w:pPr>
        <w:overflowPunct/>
        <w:textAlignment w:val="auto"/>
        <w:rPr>
          <w:rFonts w:ascii="Arial" w:hAnsi="Arial" w:cs="Arial"/>
          <w:color w:val="3B3839"/>
          <w:sz w:val="22"/>
          <w:szCs w:val="19"/>
          <w:lang w:val="en-US"/>
        </w:rPr>
      </w:pPr>
      <w:r>
        <w:rPr>
          <w:rFonts w:ascii="Arial" w:hAnsi="Arial" w:cs="Arial"/>
          <w:color w:val="3B3839"/>
          <w:sz w:val="22"/>
          <w:szCs w:val="19"/>
          <w:lang w:val="en-US"/>
        </w:rPr>
        <w:t>Management frequently override internal control</w:t>
      </w:r>
      <w:r>
        <w:rPr>
          <w:rFonts w:ascii="Arial" w:hAnsi="Arial" w:cs="Arial"/>
          <w:color w:val="3B3839"/>
          <w:sz w:val="22"/>
          <w:szCs w:val="19"/>
          <w:lang w:val="en-US"/>
        </w:rPr>
        <w:t xml:space="preserve"> </w:t>
      </w:r>
    </w:p>
    <w:p w:rsidR="005F3044" w:rsidRDefault="005F3044" w:rsidP="004F6A66">
      <w:pPr>
        <w:overflowPunct/>
        <w:textAlignment w:val="auto"/>
        <w:rPr>
          <w:rFonts w:ascii="Arial" w:hAnsi="Arial" w:cs="Arial"/>
          <w:color w:val="3B3839"/>
          <w:sz w:val="22"/>
          <w:szCs w:val="19"/>
          <w:lang w:val="en-US"/>
        </w:rPr>
      </w:pPr>
      <w:r>
        <w:rPr>
          <w:rFonts w:ascii="Arial" w:hAnsi="Arial" w:cs="Arial"/>
          <w:color w:val="3B3839"/>
          <w:sz w:val="22"/>
          <w:szCs w:val="19"/>
          <w:lang w:val="en-US"/>
        </w:rPr>
        <w:t xml:space="preserve">Inadequate monitoring to ensure that controls work as intended </w:t>
      </w:r>
    </w:p>
    <w:p w:rsidR="004F6A66" w:rsidRDefault="004F6A66" w:rsidP="004F6A66">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Insufficient oversight/audit applied</w:t>
      </w:r>
    </w:p>
    <w:p w:rsidR="004F6A66" w:rsidRDefault="004F6A66" w:rsidP="004F6A66">
      <w:pPr>
        <w:overflowPunct/>
        <w:textAlignment w:val="auto"/>
        <w:rPr>
          <w:rFonts w:ascii="Arial" w:hAnsi="Arial" w:cs="Arial"/>
          <w:color w:val="3B3839"/>
          <w:sz w:val="22"/>
          <w:szCs w:val="19"/>
          <w:lang w:val="en-US"/>
        </w:rPr>
      </w:pPr>
      <w:r>
        <w:rPr>
          <w:rFonts w:ascii="Arial" w:hAnsi="Arial" w:cs="Arial"/>
          <w:color w:val="3B3839"/>
          <w:sz w:val="22"/>
          <w:szCs w:val="19"/>
          <w:lang w:val="en-US"/>
        </w:rPr>
        <w:t>Policies not being followed.</w:t>
      </w:r>
    </w:p>
    <w:p w:rsidR="004F6A66" w:rsidRDefault="004F6A66" w:rsidP="004F6A66">
      <w:pPr>
        <w:overflowPunct/>
        <w:textAlignment w:val="auto"/>
        <w:rPr>
          <w:rFonts w:ascii="Arial" w:hAnsi="Arial" w:cs="Arial"/>
          <w:color w:val="3B3839"/>
          <w:sz w:val="22"/>
          <w:szCs w:val="19"/>
          <w:lang w:val="en-US"/>
        </w:rPr>
      </w:pPr>
      <w:r>
        <w:rPr>
          <w:rFonts w:ascii="Arial" w:hAnsi="Arial" w:cs="Arial"/>
          <w:color w:val="3B3839"/>
          <w:sz w:val="22"/>
          <w:szCs w:val="19"/>
          <w:lang w:val="en-US"/>
        </w:rPr>
        <w:t>Consistent failures to correct major weaknesses in internal control.</w:t>
      </w:r>
    </w:p>
    <w:p w:rsidR="00DA7B20" w:rsidRDefault="00DA7B20" w:rsidP="00DA7B20">
      <w:pPr>
        <w:overflowPunct/>
        <w:textAlignment w:val="auto"/>
        <w:rPr>
          <w:rFonts w:ascii="Arial" w:hAnsi="Arial" w:cs="Arial"/>
          <w:color w:val="3B3839"/>
          <w:sz w:val="22"/>
          <w:szCs w:val="19"/>
          <w:lang w:val="en-US"/>
        </w:rPr>
      </w:pPr>
      <w:r>
        <w:rPr>
          <w:rFonts w:ascii="Arial" w:hAnsi="Arial" w:cs="Arial"/>
          <w:color w:val="3B3839"/>
          <w:sz w:val="22"/>
          <w:szCs w:val="19"/>
          <w:lang w:val="en-US"/>
        </w:rPr>
        <w:t>Crisis management coupled with a pressured business environment.</w:t>
      </w:r>
    </w:p>
    <w:p w:rsidR="00DA7B20" w:rsidRDefault="00DA7B20" w:rsidP="00DA7B20">
      <w:pPr>
        <w:overflowPunct/>
        <w:textAlignment w:val="auto"/>
        <w:rPr>
          <w:rFonts w:ascii="Arial" w:hAnsi="Arial" w:cs="Arial"/>
          <w:color w:val="3B3839"/>
          <w:sz w:val="22"/>
          <w:szCs w:val="19"/>
          <w:lang w:val="en-US"/>
        </w:rPr>
      </w:pPr>
      <w:r>
        <w:rPr>
          <w:rFonts w:ascii="Arial" w:hAnsi="Arial" w:cs="Arial"/>
          <w:color w:val="3B3839"/>
          <w:sz w:val="22"/>
          <w:szCs w:val="19"/>
          <w:lang w:val="en-US"/>
        </w:rPr>
        <w:t>Lack of established code of ethical conduct.</w:t>
      </w:r>
    </w:p>
    <w:p w:rsidR="00DA7B20" w:rsidRDefault="00DA7B20" w:rsidP="00DA7B20">
      <w:pPr>
        <w:overflowPunct/>
        <w:textAlignment w:val="auto"/>
        <w:rPr>
          <w:rFonts w:ascii="Arial" w:hAnsi="Arial" w:cs="Arial"/>
          <w:color w:val="3B3839"/>
          <w:sz w:val="22"/>
          <w:szCs w:val="19"/>
          <w:lang w:val="en-US"/>
        </w:rPr>
      </w:pPr>
      <w:r>
        <w:rPr>
          <w:rFonts w:ascii="Arial" w:hAnsi="Arial" w:cs="Arial"/>
          <w:color w:val="3B3839"/>
          <w:sz w:val="22"/>
          <w:szCs w:val="19"/>
          <w:lang w:val="en-US"/>
        </w:rPr>
        <w:t>Lack of Senior Management oversight.</w:t>
      </w:r>
    </w:p>
    <w:p w:rsidR="004F6A66" w:rsidRDefault="004F6A66" w:rsidP="004F6A66">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Key managers with too much hands-on control</w:t>
      </w:r>
    </w:p>
    <w:p w:rsidR="004F6A66" w:rsidRDefault="004F6A66" w:rsidP="004F6A66">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Lack of transparency</w:t>
      </w:r>
    </w:p>
    <w:p w:rsidR="004F6A66" w:rsidRDefault="004F6A66" w:rsidP="004F6A66">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Poor engagement with corporate governance philosophy</w:t>
      </w:r>
    </w:p>
    <w:p w:rsidR="00DA7B20" w:rsidRDefault="00DA7B20" w:rsidP="00DA7B20">
      <w:pPr>
        <w:overflowPunct/>
        <w:textAlignment w:val="auto"/>
        <w:rPr>
          <w:rFonts w:ascii="Arial" w:hAnsi="Arial" w:cs="Arial"/>
          <w:color w:val="3B3839"/>
          <w:sz w:val="22"/>
          <w:szCs w:val="19"/>
          <w:lang w:val="en-US"/>
        </w:rPr>
      </w:pPr>
      <w:r>
        <w:rPr>
          <w:rFonts w:ascii="Arial" w:hAnsi="Arial" w:cs="Arial"/>
          <w:color w:val="3B3839"/>
          <w:sz w:val="22"/>
          <w:szCs w:val="19"/>
          <w:lang w:val="en-US"/>
        </w:rPr>
        <w:t>Climate of fear or an unhealthy corporate culture.</w:t>
      </w:r>
    </w:p>
    <w:p w:rsidR="00DA7B20" w:rsidRDefault="004F6A66" w:rsidP="00DA7B20">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Excessively high or low staff turnover and/or new employees resigning quickly</w:t>
      </w:r>
      <w:r>
        <w:rPr>
          <w:rFonts w:ascii="Arial" w:hAnsi="Arial" w:cs="Arial"/>
          <w:color w:val="3B3839"/>
          <w:sz w:val="22"/>
          <w:szCs w:val="19"/>
          <w:lang w:val="en-US"/>
        </w:rPr>
        <w:t xml:space="preserve"> </w:t>
      </w:r>
      <w:r w:rsidR="00DA7B20">
        <w:rPr>
          <w:rFonts w:ascii="Arial" w:hAnsi="Arial" w:cs="Arial"/>
          <w:color w:val="3B3839"/>
          <w:sz w:val="22"/>
          <w:szCs w:val="19"/>
          <w:lang w:val="en-US"/>
        </w:rPr>
        <w:t>High staff turnover rates in key controlling functions.</w:t>
      </w:r>
    </w:p>
    <w:p w:rsidR="00DA7B20" w:rsidRDefault="00DA7B20" w:rsidP="00DA7B20">
      <w:pPr>
        <w:overflowPunct/>
        <w:textAlignment w:val="auto"/>
        <w:rPr>
          <w:rFonts w:ascii="Arial" w:hAnsi="Arial" w:cs="Arial"/>
          <w:color w:val="3B3839"/>
          <w:sz w:val="22"/>
          <w:szCs w:val="19"/>
          <w:lang w:val="en-US"/>
        </w:rPr>
      </w:pPr>
      <w:r>
        <w:rPr>
          <w:rFonts w:ascii="Arial" w:hAnsi="Arial" w:cs="Arial"/>
          <w:color w:val="3B3839"/>
          <w:sz w:val="22"/>
          <w:szCs w:val="19"/>
          <w:lang w:val="en-US"/>
        </w:rPr>
        <w:t>Chronic understaffing in key control areas.</w:t>
      </w:r>
    </w:p>
    <w:p w:rsidR="004F6A66" w:rsidRDefault="00DA7B20" w:rsidP="004F6A66">
      <w:pPr>
        <w:overflowPunct/>
        <w:textAlignment w:val="auto"/>
        <w:rPr>
          <w:rFonts w:ascii="Arial" w:hAnsi="Arial" w:cs="Arial"/>
          <w:color w:val="3B3839"/>
          <w:sz w:val="22"/>
          <w:szCs w:val="19"/>
          <w:lang w:val="en-US"/>
        </w:rPr>
      </w:pPr>
      <w:r>
        <w:rPr>
          <w:rFonts w:ascii="Arial" w:hAnsi="Arial" w:cs="Arial"/>
          <w:color w:val="3B3839"/>
          <w:sz w:val="22"/>
          <w:szCs w:val="19"/>
          <w:lang w:val="en-US"/>
        </w:rPr>
        <w:t>Low staff morale/lack of career progression/weak management.</w:t>
      </w:r>
    </w:p>
    <w:p w:rsidR="00DA7B20" w:rsidRDefault="00DA7B20" w:rsidP="00DA7B20">
      <w:pPr>
        <w:overflowPunct/>
        <w:textAlignment w:val="auto"/>
        <w:rPr>
          <w:rFonts w:ascii="Arial" w:hAnsi="Arial" w:cs="Arial"/>
          <w:color w:val="3B3839"/>
          <w:sz w:val="22"/>
          <w:szCs w:val="19"/>
          <w:lang w:val="en-US"/>
        </w:rPr>
      </w:pPr>
      <w:r>
        <w:rPr>
          <w:rFonts w:ascii="Arial" w:hAnsi="Arial" w:cs="Arial"/>
          <w:color w:val="3B3839"/>
          <w:sz w:val="22"/>
          <w:szCs w:val="19"/>
          <w:lang w:val="en-US"/>
        </w:rPr>
        <w:t>Excessive hours worked by key staff.</w:t>
      </w:r>
    </w:p>
    <w:p w:rsidR="00DA7B20" w:rsidRDefault="00DA7B20" w:rsidP="00DA7B20">
      <w:pPr>
        <w:overflowPunct/>
        <w:textAlignment w:val="auto"/>
        <w:rPr>
          <w:rFonts w:ascii="Arial" w:hAnsi="Arial" w:cs="Arial"/>
          <w:color w:val="3B3839"/>
          <w:sz w:val="22"/>
          <w:szCs w:val="19"/>
          <w:lang w:val="en-US"/>
        </w:rPr>
      </w:pPr>
      <w:r>
        <w:rPr>
          <w:rFonts w:ascii="Arial" w:hAnsi="Arial" w:cs="Arial"/>
          <w:color w:val="3B3839"/>
          <w:sz w:val="22"/>
          <w:szCs w:val="19"/>
          <w:lang w:val="en-US"/>
        </w:rPr>
        <w:t>When an employee is on leave, the work is left until the employee returns.</w:t>
      </w:r>
    </w:p>
    <w:p w:rsidR="00DA7B20" w:rsidRDefault="00DA7B20" w:rsidP="00DA7B20">
      <w:pPr>
        <w:overflowPunct/>
        <w:textAlignment w:val="auto"/>
        <w:rPr>
          <w:rFonts w:ascii="Arial" w:hAnsi="Arial" w:cs="Arial"/>
          <w:color w:val="3B3839"/>
          <w:sz w:val="22"/>
          <w:szCs w:val="19"/>
          <w:lang w:val="en-US"/>
        </w:rPr>
      </w:pPr>
      <w:r>
        <w:rPr>
          <w:rFonts w:ascii="Arial" w:hAnsi="Arial" w:cs="Arial"/>
          <w:color w:val="3B3839"/>
          <w:sz w:val="22"/>
          <w:szCs w:val="19"/>
          <w:lang w:val="en-US"/>
        </w:rPr>
        <w:t>Lack of common sense controls such as changing passwords frequently, requiring two</w:t>
      </w:r>
    </w:p>
    <w:p w:rsidR="00DA7B20" w:rsidRDefault="00DA7B20" w:rsidP="00DA7B20">
      <w:pPr>
        <w:overflowPunct/>
        <w:textAlignment w:val="auto"/>
        <w:rPr>
          <w:rFonts w:ascii="Arial" w:hAnsi="Arial" w:cs="Arial"/>
          <w:color w:val="3B3839"/>
          <w:sz w:val="22"/>
          <w:szCs w:val="19"/>
          <w:lang w:val="en-US"/>
        </w:rPr>
      </w:pPr>
      <w:r>
        <w:rPr>
          <w:rFonts w:ascii="Arial" w:hAnsi="Arial" w:cs="Arial"/>
          <w:color w:val="3B3839"/>
          <w:sz w:val="22"/>
          <w:szCs w:val="19"/>
          <w:lang w:val="en-US"/>
        </w:rPr>
        <w:t xml:space="preserve">signatures on </w:t>
      </w:r>
      <w:proofErr w:type="spellStart"/>
      <w:r>
        <w:rPr>
          <w:rFonts w:ascii="Arial" w:hAnsi="Arial" w:cs="Arial"/>
          <w:color w:val="3B3839"/>
          <w:sz w:val="22"/>
          <w:szCs w:val="19"/>
          <w:lang w:val="en-US"/>
        </w:rPr>
        <w:t>cheques</w:t>
      </w:r>
      <w:proofErr w:type="spellEnd"/>
      <w:r>
        <w:rPr>
          <w:rFonts w:ascii="Arial" w:hAnsi="Arial" w:cs="Arial"/>
          <w:color w:val="3B3839"/>
          <w:sz w:val="22"/>
          <w:szCs w:val="19"/>
          <w:lang w:val="en-US"/>
        </w:rPr>
        <w:t xml:space="preserve"> or restricting access to sensitive areas.</w:t>
      </w:r>
    </w:p>
    <w:p w:rsidR="00DA7B20" w:rsidRDefault="00DA7B20" w:rsidP="00DA7B20">
      <w:pPr>
        <w:overflowPunct/>
        <w:textAlignment w:val="auto"/>
        <w:rPr>
          <w:rFonts w:ascii="Arial" w:hAnsi="Arial" w:cs="Arial"/>
          <w:color w:val="3B3839"/>
          <w:sz w:val="22"/>
          <w:szCs w:val="19"/>
          <w:lang w:val="en-US"/>
        </w:rPr>
      </w:pPr>
      <w:proofErr w:type="spellStart"/>
      <w:r>
        <w:rPr>
          <w:rFonts w:ascii="Arial" w:hAnsi="Arial" w:cs="Arial"/>
          <w:color w:val="3B3839"/>
          <w:sz w:val="22"/>
          <w:szCs w:val="19"/>
          <w:lang w:val="en-US"/>
        </w:rPr>
        <w:t>Unauthorised</w:t>
      </w:r>
      <w:proofErr w:type="spellEnd"/>
      <w:r>
        <w:rPr>
          <w:rFonts w:ascii="Arial" w:hAnsi="Arial" w:cs="Arial"/>
          <w:color w:val="3B3839"/>
          <w:sz w:val="22"/>
          <w:szCs w:val="19"/>
          <w:lang w:val="en-US"/>
        </w:rPr>
        <w:t xml:space="preserve"> changes to systems or work practices.</w:t>
      </w:r>
    </w:p>
    <w:p w:rsidR="005F3044" w:rsidRDefault="004F6A66"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Contract d</w:t>
      </w:r>
      <w:r w:rsidR="005F3044">
        <w:rPr>
          <w:rFonts w:ascii="Arial" w:hAnsi="Arial" w:cs="Arial"/>
          <w:color w:val="3B3839"/>
          <w:sz w:val="22"/>
          <w:szCs w:val="19"/>
          <w:lang w:val="en-US"/>
        </w:rPr>
        <w:t>ocumentation that is photocopied or lacking essential information.</w:t>
      </w:r>
    </w:p>
    <w:p w:rsidR="00DA7B20" w:rsidRDefault="00DA7B20" w:rsidP="00DA7B20">
      <w:pPr>
        <w:overflowPunct/>
        <w:textAlignment w:val="auto"/>
        <w:rPr>
          <w:rFonts w:ascii="Arial" w:hAnsi="Arial" w:cs="Arial"/>
          <w:color w:val="3B3839"/>
          <w:sz w:val="22"/>
          <w:szCs w:val="19"/>
          <w:lang w:val="en-US"/>
        </w:rPr>
      </w:pPr>
      <w:r>
        <w:rPr>
          <w:rFonts w:ascii="Arial" w:hAnsi="Arial" w:cs="Arial"/>
          <w:color w:val="3B3839"/>
          <w:sz w:val="22"/>
          <w:szCs w:val="19"/>
          <w:lang w:val="en-US"/>
        </w:rPr>
        <w:t>Key documents missing (e.g. invoices, contracts).</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Missing expenditure vouchers and official records.</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Excessive variations to budgets or contracts.</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Bank and ledger reconciliations are not maintained or cannot be balanced.</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Excessive movements of cash or transactions between accounts.</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Numerous adjustments or exceptions.</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Overdue pay or expense advances.</w:t>
      </w:r>
    </w:p>
    <w:p w:rsidR="00DA7B20" w:rsidRDefault="00DA7B20" w:rsidP="00DA7B20">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Cash-only transactions</w:t>
      </w:r>
    </w:p>
    <w:p w:rsidR="00DA7B20" w:rsidRDefault="00DA7B20" w:rsidP="00DA7B20">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Poorly reconciled cash expenses or customer accounts</w:t>
      </w:r>
    </w:p>
    <w:p w:rsidR="00DA7B20" w:rsidRDefault="00DA7B20" w:rsidP="00DA7B20">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Rising costs with no explanation or that are not commensurate with an increase in revenue</w:t>
      </w:r>
    </w:p>
    <w:p w:rsidR="00DA7B20" w:rsidRDefault="00DA7B20" w:rsidP="00DA7B20">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Large volume of refunds to customers</w:t>
      </w:r>
    </w:p>
    <w:p w:rsidR="00DA7B20" w:rsidRDefault="00DA7B20" w:rsidP="00DA7B20">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An unusual number of customer complaints</w:t>
      </w:r>
      <w:r>
        <w:rPr>
          <w:rFonts w:ascii="Arial" w:hAnsi="Arial" w:cs="Arial"/>
          <w:color w:val="3B3839"/>
          <w:sz w:val="22"/>
          <w:szCs w:val="19"/>
          <w:lang w:val="en-US"/>
        </w:rPr>
        <w:t xml:space="preserve"> </w:t>
      </w:r>
    </w:p>
    <w:p w:rsidR="00DA7B20" w:rsidRDefault="00DA7B20" w:rsidP="00DA7B20">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Unusually large inventories</w:t>
      </w:r>
    </w:p>
    <w:p w:rsidR="00DA7B20" w:rsidRDefault="00DA7B20" w:rsidP="00DA7B20">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Unusual transactions or inter-account transfers (even for small amounts)</w:t>
      </w:r>
    </w:p>
    <w:p w:rsidR="00DA7B20" w:rsidRDefault="00DA7B20" w:rsidP="00DA7B20">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 xml:space="preserve">Remuneration disproportionately linked to activities such as sales. </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Duplicate payments.</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Ghost employees on the payroll.</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Large payments to individuals.</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Post Office boxes as shipping addresses.</w:t>
      </w:r>
    </w:p>
    <w:p w:rsidR="004F6A66" w:rsidRDefault="004F6A66" w:rsidP="004F6A66">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Customers</w:t>
      </w:r>
      <w:r>
        <w:rPr>
          <w:rFonts w:ascii="Arial" w:hAnsi="Arial" w:cs="Arial"/>
          <w:color w:val="3B3839"/>
          <w:sz w:val="22"/>
          <w:szCs w:val="19"/>
          <w:lang w:val="en-US"/>
        </w:rPr>
        <w:t>/Suppliers/contractors who insist on dealing with one particular member of staff.</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Unclosed but obsolete contracts.</w:t>
      </w:r>
    </w:p>
    <w:p w:rsidR="005F3044" w:rsidRDefault="005F3044" w:rsidP="005F3044">
      <w:pPr>
        <w:overflowPunct/>
        <w:textAlignment w:val="auto"/>
        <w:rPr>
          <w:rFonts w:ascii="Arial" w:hAnsi="Arial" w:cs="Arial"/>
          <w:color w:val="3B3839"/>
          <w:sz w:val="22"/>
          <w:szCs w:val="19"/>
          <w:lang w:val="en-US"/>
        </w:rPr>
      </w:pPr>
      <w:r>
        <w:rPr>
          <w:rFonts w:ascii="Arial" w:hAnsi="Arial" w:cs="Arial"/>
          <w:color w:val="3B3839"/>
          <w:sz w:val="22"/>
          <w:szCs w:val="19"/>
          <w:lang w:val="en-US"/>
        </w:rPr>
        <w:t>Splitting up requirements to get under small purchase requirements or to avoid prescribed levels of review or approval.</w:t>
      </w:r>
    </w:p>
    <w:p w:rsidR="0027765F" w:rsidRDefault="0027765F" w:rsidP="0027765F">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Managers who avoid using the purchasing department</w:t>
      </w:r>
    </w:p>
    <w:p w:rsidR="0027765F" w:rsidRDefault="0027765F" w:rsidP="0027765F">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Tendering to one supplier only or to the same suppliers</w:t>
      </w:r>
    </w:p>
    <w:p w:rsidR="0027765F" w:rsidRDefault="0027765F" w:rsidP="0027765F">
      <w:pPr>
        <w:overflowPunct/>
        <w:textAlignment w:val="auto"/>
        <w:rPr>
          <w:rFonts w:ascii="Arial" w:hAnsi="Arial" w:cs="Arial"/>
          <w:color w:val="3B3839"/>
          <w:sz w:val="22"/>
          <w:szCs w:val="19"/>
          <w:lang w:val="en-US"/>
        </w:rPr>
      </w:pPr>
      <w:r w:rsidRPr="00985D77">
        <w:rPr>
          <w:rFonts w:ascii="Arial" w:hAnsi="Arial" w:cs="Arial"/>
          <w:color w:val="3B3839"/>
          <w:sz w:val="22"/>
          <w:szCs w:val="19"/>
          <w:lang w:val="en-US"/>
        </w:rPr>
        <w:t>.</w:t>
      </w:r>
    </w:p>
    <w:p w:rsidR="0027765F" w:rsidRDefault="004F6A66" w:rsidP="0027765F">
      <w:pPr>
        <w:spacing w:after="180"/>
        <w:rPr>
          <w:rFonts w:ascii="Arial" w:hAnsi="Arial" w:cs="Arial"/>
          <w:b/>
          <w:bCs/>
          <w:sz w:val="24"/>
          <w:lang w:val="en-US"/>
        </w:rPr>
      </w:pPr>
      <w:bookmarkStart w:id="0" w:name="_GoBack"/>
      <w:bookmarkEnd w:id="0"/>
      <w:r>
        <w:rPr>
          <w:rFonts w:ascii="Arial" w:hAnsi="Arial" w:cs="Arial"/>
          <w:noProof/>
          <w:color w:val="3B3839"/>
          <w:sz w:val="22"/>
          <w:szCs w:val="19"/>
          <w:lang w:eastAsia="en-GB"/>
        </w:rPr>
        <w:lastRenderedPageBreak/>
        <w:drawing>
          <wp:anchor distT="0" distB="0" distL="114300" distR="114300" simplePos="0" relativeHeight="251662336" behindDoc="0" locked="0" layoutInCell="1" allowOverlap="1" wp14:anchorId="56A5F39C" wp14:editId="377F93CB">
            <wp:simplePos x="0" y="0"/>
            <wp:positionH relativeFrom="page">
              <wp:posOffset>5461000</wp:posOffset>
            </wp:positionH>
            <wp:positionV relativeFrom="paragraph">
              <wp:posOffset>-763905</wp:posOffset>
            </wp:positionV>
            <wp:extent cx="1951835" cy="501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1835" cy="501445"/>
                    </a:xfrm>
                    <a:prstGeom prst="rect">
                      <a:avLst/>
                    </a:prstGeom>
                  </pic:spPr>
                </pic:pic>
              </a:graphicData>
            </a:graphic>
            <wp14:sizeRelH relativeFrom="margin">
              <wp14:pctWidth>0</wp14:pctWidth>
            </wp14:sizeRelH>
            <wp14:sizeRelV relativeFrom="margin">
              <wp14:pctHeight>0</wp14:pctHeight>
            </wp14:sizeRelV>
          </wp:anchor>
        </w:drawing>
      </w:r>
    </w:p>
    <w:p w:rsidR="005F3044" w:rsidRPr="00F534F0" w:rsidRDefault="005F3044" w:rsidP="005F3044">
      <w:pPr>
        <w:spacing w:after="180"/>
        <w:jc w:val="center"/>
        <w:rPr>
          <w:rFonts w:ascii="Arial" w:hAnsi="Arial" w:cs="Arial"/>
          <w:sz w:val="24"/>
          <w:lang w:val="en-US"/>
        </w:rPr>
      </w:pPr>
      <w:r w:rsidRPr="00F534F0">
        <w:rPr>
          <w:rFonts w:ascii="Arial" w:hAnsi="Arial" w:cs="Arial"/>
          <w:b/>
          <w:bCs/>
          <w:sz w:val="24"/>
          <w:lang w:val="en-US"/>
        </w:rPr>
        <w:t>Procurement and Tendering Fraud Indicators</w:t>
      </w:r>
    </w:p>
    <w:p w:rsidR="005F3044" w:rsidRPr="00F534F0" w:rsidRDefault="005F3044" w:rsidP="005F3044">
      <w:pPr>
        <w:spacing w:after="180"/>
        <w:jc w:val="both"/>
        <w:rPr>
          <w:rFonts w:ascii="Arial" w:hAnsi="Arial" w:cs="Arial"/>
          <w:sz w:val="24"/>
          <w:lang w:val="en-US"/>
        </w:rPr>
      </w:pPr>
      <w:r w:rsidRPr="00F534F0">
        <w:rPr>
          <w:rFonts w:ascii="Arial" w:hAnsi="Arial" w:cs="Arial"/>
          <w:sz w:val="24"/>
          <w:lang w:val="en-US"/>
        </w:rPr>
        <w:t xml:space="preserve">The following may be indicators of fraud in the tendering and contract award </w:t>
      </w:r>
      <w:proofErr w:type="gramStart"/>
      <w:r w:rsidRPr="00F534F0">
        <w:rPr>
          <w:rFonts w:ascii="Arial" w:hAnsi="Arial" w:cs="Arial"/>
          <w:sz w:val="24"/>
          <w:lang w:val="en-US"/>
        </w:rPr>
        <w:t>process:-</w:t>
      </w:r>
      <w:proofErr w:type="gramEnd"/>
    </w:p>
    <w:p w:rsidR="005F3044" w:rsidRPr="00F534F0" w:rsidRDefault="005F3044" w:rsidP="0068048A">
      <w:pPr>
        <w:keepNext/>
        <w:spacing w:after="120"/>
        <w:jc w:val="both"/>
        <w:outlineLvl w:val="2"/>
        <w:rPr>
          <w:rFonts w:ascii="Arial" w:hAnsi="Arial" w:cs="Arial"/>
          <w:b/>
          <w:bCs/>
          <w:sz w:val="24"/>
          <w:lang w:val="en-US"/>
        </w:rPr>
      </w:pPr>
      <w:r w:rsidRPr="00F534F0">
        <w:rPr>
          <w:rFonts w:ascii="Arial" w:hAnsi="Arial" w:cs="Arial"/>
          <w:b/>
          <w:bCs/>
          <w:sz w:val="24"/>
          <w:lang w:val="en-US"/>
        </w:rPr>
        <w:t>Before contract award</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Disqualification of suitable tenderers.</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“Short” invitation to tender list.</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Unchanging list of preferred suppliers.</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Consistent use of single source contracts.</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Contracts specifications that do not make commercial sense.</w:t>
      </w:r>
    </w:p>
    <w:p w:rsidR="0068048A" w:rsidRPr="0068048A"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Contracts that include special, but unnecessary specifications, that only one supplier can meet.</w:t>
      </w:r>
      <w:r w:rsidR="0068048A" w:rsidRPr="0068048A">
        <w:rPr>
          <w:rFonts w:ascii="Arial" w:hAnsi="Arial" w:cs="Arial"/>
          <w:color w:val="3B3839"/>
          <w:sz w:val="22"/>
          <w:szCs w:val="19"/>
          <w:lang w:val="en-US"/>
        </w:rPr>
        <w:t xml:space="preserve"> </w:t>
      </w:r>
    </w:p>
    <w:p w:rsidR="005F3044" w:rsidRPr="00F534F0" w:rsidRDefault="0068048A" w:rsidP="0068048A">
      <w:pPr>
        <w:numPr>
          <w:ilvl w:val="0"/>
          <w:numId w:val="1"/>
        </w:numPr>
        <w:spacing w:after="120"/>
        <w:jc w:val="both"/>
        <w:rPr>
          <w:rFonts w:ascii="Arial" w:hAnsi="Arial" w:cs="Arial"/>
          <w:sz w:val="24"/>
          <w:lang w:val="en-US"/>
        </w:rPr>
      </w:pPr>
      <w:r>
        <w:rPr>
          <w:rFonts w:ascii="Arial" w:hAnsi="Arial" w:cs="Arial"/>
          <w:color w:val="3B3839"/>
          <w:sz w:val="22"/>
          <w:szCs w:val="19"/>
          <w:lang w:val="en-US"/>
        </w:rPr>
        <w:t>Vague specifications</w:t>
      </w:r>
    </w:p>
    <w:p w:rsidR="0068048A" w:rsidRPr="0068048A" w:rsidRDefault="005F3044" w:rsidP="0068048A">
      <w:pPr>
        <w:pStyle w:val="ListParagraph"/>
        <w:numPr>
          <w:ilvl w:val="0"/>
          <w:numId w:val="1"/>
        </w:numPr>
        <w:overflowPunct/>
        <w:spacing w:after="240"/>
        <w:textAlignment w:val="auto"/>
        <w:rPr>
          <w:rFonts w:ascii="Arial" w:hAnsi="Arial" w:cs="Arial"/>
          <w:sz w:val="24"/>
          <w:lang w:val="en-US"/>
        </w:rPr>
      </w:pPr>
      <w:r w:rsidRPr="0068048A">
        <w:rPr>
          <w:rFonts w:ascii="Arial" w:hAnsi="Arial" w:cs="Arial"/>
          <w:sz w:val="24"/>
          <w:lang w:val="en-US"/>
        </w:rPr>
        <w:t>Personal relationsh</w:t>
      </w:r>
      <w:r w:rsidR="0068048A" w:rsidRPr="0068048A">
        <w:rPr>
          <w:rFonts w:ascii="Arial" w:hAnsi="Arial" w:cs="Arial"/>
          <w:sz w:val="24"/>
          <w:lang w:val="en-US"/>
        </w:rPr>
        <w:t>ips between staff and suppliers</w:t>
      </w:r>
    </w:p>
    <w:p w:rsidR="005F3044" w:rsidRPr="00F534F0" w:rsidRDefault="005F3044" w:rsidP="0068048A">
      <w:pPr>
        <w:spacing w:after="120"/>
        <w:jc w:val="both"/>
        <w:rPr>
          <w:rFonts w:ascii="Arial" w:hAnsi="Arial" w:cs="Arial"/>
          <w:sz w:val="24"/>
          <w:lang w:val="en-US"/>
        </w:rPr>
      </w:pPr>
      <w:r w:rsidRPr="00F534F0">
        <w:rPr>
          <w:rFonts w:ascii="Arial" w:hAnsi="Arial" w:cs="Arial"/>
          <w:b/>
          <w:bCs/>
          <w:sz w:val="24"/>
          <w:lang w:val="en-US"/>
        </w:rPr>
        <w:t>During the contract award process</w:t>
      </w:r>
    </w:p>
    <w:p w:rsidR="0068048A" w:rsidRPr="0068048A"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Withdrawal of a lower bidder without apparent reason and their subsequent sub-contracting to a higher bidder.</w:t>
      </w:r>
      <w:r w:rsidR="0068048A" w:rsidRPr="0068048A">
        <w:rPr>
          <w:rFonts w:ascii="Arial" w:hAnsi="Arial" w:cs="Arial"/>
          <w:color w:val="3B3839"/>
          <w:sz w:val="22"/>
          <w:szCs w:val="19"/>
          <w:lang w:val="en-US"/>
        </w:rPr>
        <w:t xml:space="preserve"> </w:t>
      </w:r>
    </w:p>
    <w:p w:rsidR="0068048A" w:rsidRPr="0068048A" w:rsidRDefault="0068048A" w:rsidP="0068048A">
      <w:pPr>
        <w:numPr>
          <w:ilvl w:val="0"/>
          <w:numId w:val="1"/>
        </w:numPr>
        <w:spacing w:after="120"/>
        <w:jc w:val="both"/>
        <w:rPr>
          <w:rFonts w:ascii="Arial" w:hAnsi="Arial" w:cs="Arial"/>
          <w:sz w:val="24"/>
          <w:lang w:val="en-US"/>
        </w:rPr>
      </w:pPr>
      <w:r>
        <w:rPr>
          <w:rFonts w:ascii="Arial" w:hAnsi="Arial" w:cs="Arial"/>
          <w:color w:val="3B3839"/>
          <w:sz w:val="22"/>
          <w:szCs w:val="19"/>
          <w:lang w:val="en-US"/>
        </w:rPr>
        <w:t>Lowest tenders or quotes passed over with minimal explanation recorded</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“Flexible” evaluation criteria.</w:t>
      </w:r>
    </w:p>
    <w:p w:rsidR="005F3044" w:rsidRPr="0068048A" w:rsidRDefault="005F3044" w:rsidP="0068048A">
      <w:pPr>
        <w:pStyle w:val="ListParagraph"/>
        <w:numPr>
          <w:ilvl w:val="0"/>
          <w:numId w:val="1"/>
        </w:numPr>
        <w:spacing w:after="120"/>
        <w:rPr>
          <w:rFonts w:ascii="Arial" w:hAnsi="Arial" w:cs="Arial"/>
          <w:sz w:val="24"/>
          <w:lang w:val="en-US"/>
        </w:rPr>
      </w:pPr>
      <w:r w:rsidRPr="0068048A">
        <w:rPr>
          <w:rFonts w:ascii="Arial" w:hAnsi="Arial" w:cs="Arial"/>
          <w:sz w:val="24"/>
          <w:lang w:val="en-US"/>
        </w:rPr>
        <w:t>Acceptance of late bids.</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Changes in the specification after other bids have opened.</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Consistently accurate estimates of tender costs.</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Poor documentation of the contract award process.</w:t>
      </w:r>
    </w:p>
    <w:p w:rsidR="005F3044" w:rsidRPr="00F534F0" w:rsidRDefault="005F3044" w:rsidP="0068048A">
      <w:pPr>
        <w:numPr>
          <w:ilvl w:val="0"/>
          <w:numId w:val="1"/>
        </w:numPr>
        <w:spacing w:after="240"/>
        <w:jc w:val="both"/>
        <w:rPr>
          <w:rFonts w:ascii="Arial" w:hAnsi="Arial" w:cs="Arial"/>
          <w:sz w:val="24"/>
          <w:lang w:val="en-US"/>
        </w:rPr>
      </w:pPr>
      <w:r w:rsidRPr="00F534F0">
        <w:rPr>
          <w:rFonts w:ascii="Arial" w:hAnsi="Arial" w:cs="Arial"/>
          <w:sz w:val="24"/>
          <w:lang w:val="en-US"/>
        </w:rPr>
        <w:t xml:space="preserve">Consistent </w:t>
      </w:r>
      <w:proofErr w:type="spellStart"/>
      <w:r w:rsidRPr="00F534F0">
        <w:rPr>
          <w:rFonts w:ascii="Arial" w:hAnsi="Arial" w:cs="Arial"/>
          <w:sz w:val="24"/>
          <w:lang w:val="en-US"/>
        </w:rPr>
        <w:t>favouring</w:t>
      </w:r>
      <w:proofErr w:type="spellEnd"/>
      <w:r w:rsidRPr="00F534F0">
        <w:rPr>
          <w:rFonts w:ascii="Arial" w:hAnsi="Arial" w:cs="Arial"/>
          <w:sz w:val="24"/>
          <w:lang w:val="en-US"/>
        </w:rPr>
        <w:t xml:space="preserve"> of one firm over others.</w:t>
      </w:r>
    </w:p>
    <w:p w:rsidR="005F3044" w:rsidRPr="00F534F0" w:rsidRDefault="005F3044" w:rsidP="0068048A">
      <w:pPr>
        <w:spacing w:before="120" w:after="120"/>
        <w:jc w:val="both"/>
        <w:rPr>
          <w:rFonts w:ascii="Arial" w:hAnsi="Arial" w:cs="Arial"/>
          <w:sz w:val="24"/>
          <w:lang w:val="en-US"/>
        </w:rPr>
      </w:pPr>
      <w:r w:rsidRPr="00F534F0">
        <w:rPr>
          <w:rFonts w:ascii="Arial" w:hAnsi="Arial" w:cs="Arial"/>
          <w:b/>
          <w:bCs/>
          <w:sz w:val="24"/>
          <w:lang w:val="en-US"/>
        </w:rPr>
        <w:t>After the award of contract</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Unexplained changes in the contract shortly after its award.</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Contract awarded to a supplier with a poor performance record.</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Split contracts to circumvent controls or contract conditions.</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Suppliers who are award contracts disproportionate to their size.</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Frequent increases in the limits of liability.</w:t>
      </w:r>
    </w:p>
    <w:p w:rsidR="005F3044" w:rsidRPr="00F534F0" w:rsidRDefault="005F3044" w:rsidP="0068048A">
      <w:pPr>
        <w:numPr>
          <w:ilvl w:val="0"/>
          <w:numId w:val="1"/>
        </w:numPr>
        <w:spacing w:after="120"/>
        <w:jc w:val="both"/>
        <w:rPr>
          <w:rFonts w:ascii="Arial" w:hAnsi="Arial" w:cs="Arial"/>
          <w:sz w:val="24"/>
          <w:lang w:val="en-US"/>
        </w:rPr>
      </w:pPr>
      <w:r w:rsidRPr="00F534F0">
        <w:rPr>
          <w:rFonts w:ascii="Arial" w:hAnsi="Arial" w:cs="Arial"/>
          <w:sz w:val="24"/>
          <w:lang w:val="en-US"/>
        </w:rPr>
        <w:t>Frequent increases in contract specifications.</w:t>
      </w:r>
    </w:p>
    <w:p w:rsidR="005F3044" w:rsidRDefault="005F3044" w:rsidP="005F3044">
      <w:pPr>
        <w:overflowPunct/>
        <w:textAlignment w:val="auto"/>
        <w:rPr>
          <w:rFonts w:ascii="Arial" w:hAnsi="Arial" w:cs="Arial"/>
          <w:color w:val="3B3839"/>
          <w:sz w:val="22"/>
          <w:szCs w:val="19"/>
          <w:lang w:val="en-US"/>
        </w:rPr>
      </w:pPr>
    </w:p>
    <w:p w:rsidR="005F3044" w:rsidRDefault="005F3044" w:rsidP="005F3044"/>
    <w:sectPr w:rsidR="005F30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B5" w:rsidRDefault="008E47B5" w:rsidP="001547F9">
      <w:r>
        <w:separator/>
      </w:r>
    </w:p>
  </w:endnote>
  <w:endnote w:type="continuationSeparator" w:id="0">
    <w:p w:rsidR="008E47B5" w:rsidRDefault="008E47B5" w:rsidP="0015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F9" w:rsidRDefault="00154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F9" w:rsidRDefault="001547F9">
    <w:pPr>
      <w:pStyle w:val="Footer"/>
    </w:pPr>
    <w:r>
      <w:t>© Financial Crime Management Group Ltd 2016</w:t>
    </w:r>
  </w:p>
  <w:p w:rsidR="001547F9" w:rsidRDefault="00154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F9" w:rsidRDefault="00154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B5" w:rsidRDefault="008E47B5" w:rsidP="001547F9">
      <w:r>
        <w:separator/>
      </w:r>
    </w:p>
  </w:footnote>
  <w:footnote w:type="continuationSeparator" w:id="0">
    <w:p w:rsidR="008E47B5" w:rsidRDefault="008E47B5" w:rsidP="0015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F9" w:rsidRDefault="00154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F9" w:rsidRDefault="00154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F9" w:rsidRDefault="00154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DDA"/>
    <w:multiLevelType w:val="hybridMultilevel"/>
    <w:tmpl w:val="24C03D58"/>
    <w:lvl w:ilvl="0" w:tplc="A2B69EC8">
      <w:start w:val="7"/>
      <w:numFmt w:val="bullet"/>
      <w:lvlText w:val=""/>
      <w:lvlJc w:val="left"/>
      <w:pPr>
        <w:tabs>
          <w:tab w:val="num" w:pos="567"/>
        </w:tabs>
        <w:ind w:left="567" w:hanging="567"/>
      </w:pPr>
      <w:rPr>
        <w:rFonts w:ascii="Symbol" w:hAnsi="Symbol" w:hint="default"/>
      </w:rPr>
    </w:lvl>
    <w:lvl w:ilvl="1" w:tplc="C45A3DA4">
      <w:start w:val="1"/>
      <w:numFmt w:val="decimal"/>
      <w:lvlText w:val="%2."/>
      <w:lvlJc w:val="left"/>
      <w:pPr>
        <w:tabs>
          <w:tab w:val="num" w:pos="567"/>
        </w:tabs>
        <w:ind w:left="56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44"/>
    <w:rsid w:val="000101A8"/>
    <w:rsid w:val="00074F1F"/>
    <w:rsid w:val="001547F9"/>
    <w:rsid w:val="001572EA"/>
    <w:rsid w:val="0027765F"/>
    <w:rsid w:val="003078D7"/>
    <w:rsid w:val="004F6A66"/>
    <w:rsid w:val="005F3044"/>
    <w:rsid w:val="0063139B"/>
    <w:rsid w:val="0068048A"/>
    <w:rsid w:val="007B5269"/>
    <w:rsid w:val="008668B2"/>
    <w:rsid w:val="008E47B5"/>
    <w:rsid w:val="009154DE"/>
    <w:rsid w:val="009F04EC"/>
    <w:rsid w:val="00A52318"/>
    <w:rsid w:val="00AF2EE9"/>
    <w:rsid w:val="00B14AB7"/>
    <w:rsid w:val="00DA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4693"/>
  <w15:chartTrackingRefBased/>
  <w15:docId w15:val="{BE50C1B3-FE38-4CA5-A4A8-5F1C7880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3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48A"/>
    <w:pPr>
      <w:ind w:left="720"/>
      <w:contextualSpacing/>
    </w:pPr>
  </w:style>
  <w:style w:type="paragraph" w:styleId="Header">
    <w:name w:val="header"/>
    <w:basedOn w:val="Normal"/>
    <w:link w:val="HeaderChar"/>
    <w:uiPriority w:val="99"/>
    <w:unhideWhenUsed/>
    <w:rsid w:val="001547F9"/>
    <w:pPr>
      <w:tabs>
        <w:tab w:val="center" w:pos="4513"/>
        <w:tab w:val="right" w:pos="9026"/>
      </w:tabs>
    </w:pPr>
  </w:style>
  <w:style w:type="character" w:customStyle="1" w:styleId="HeaderChar">
    <w:name w:val="Header Char"/>
    <w:basedOn w:val="DefaultParagraphFont"/>
    <w:link w:val="Header"/>
    <w:uiPriority w:val="99"/>
    <w:rsid w:val="001547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47F9"/>
    <w:pPr>
      <w:tabs>
        <w:tab w:val="center" w:pos="4513"/>
        <w:tab w:val="right" w:pos="9026"/>
      </w:tabs>
    </w:pPr>
  </w:style>
  <w:style w:type="character" w:customStyle="1" w:styleId="FooterChar">
    <w:name w:val="Footer Char"/>
    <w:basedOn w:val="DefaultParagraphFont"/>
    <w:link w:val="Footer"/>
    <w:uiPriority w:val="99"/>
    <w:rsid w:val="001547F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Tyson</dc:creator>
  <cp:keywords/>
  <dc:description/>
  <cp:lastModifiedBy>Neil Tyson</cp:lastModifiedBy>
  <cp:revision>11</cp:revision>
  <dcterms:created xsi:type="dcterms:W3CDTF">2016-04-13T13:20:00Z</dcterms:created>
  <dcterms:modified xsi:type="dcterms:W3CDTF">2016-05-05T21:08:00Z</dcterms:modified>
</cp:coreProperties>
</file>