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3FC1D" w14:textId="77777777" w:rsidR="00000000" w:rsidRDefault="00DE72B3">
      <w:pPr>
        <w:jc w:val="both"/>
      </w:pPr>
      <w:r>
        <w:drawing>
          <wp:anchor distT="0" distB="0" distL="114300" distR="114300" simplePos="0" relativeHeight="251658240" behindDoc="1" locked="0" layoutInCell="1" allowOverlap="1" wp14:anchorId="6D27AC4E" wp14:editId="260A0E92">
            <wp:simplePos x="0" y="0"/>
            <wp:positionH relativeFrom="column">
              <wp:posOffset>4686300</wp:posOffset>
            </wp:positionH>
            <wp:positionV relativeFrom="paragraph">
              <wp:posOffset>-685800</wp:posOffset>
            </wp:positionV>
            <wp:extent cx="1159510" cy="297486"/>
            <wp:effectExtent l="0" t="0" r="889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RC Logo.jpg"/>
                    <pic:cNvPicPr/>
                  </pic:nvPicPr>
                  <pic:blipFill>
                    <a:blip r:embed="rId7">
                      <a:extLst>
                        <a:ext uri="{28A0092B-C50C-407E-A947-70E740481C1C}">
                          <a14:useLocalDpi xmlns:a14="http://schemas.microsoft.com/office/drawing/2010/main" val="0"/>
                        </a:ext>
                      </a:extLst>
                    </a:blip>
                    <a:stretch>
                      <a:fillRect/>
                    </a:stretch>
                  </pic:blipFill>
                  <pic:spPr>
                    <a:xfrm>
                      <a:off x="0" y="0"/>
                      <a:ext cx="1159510" cy="297486"/>
                    </a:xfrm>
                    <a:prstGeom prst="rect">
                      <a:avLst/>
                    </a:prstGeom>
                  </pic:spPr>
                </pic:pic>
              </a:graphicData>
            </a:graphic>
            <wp14:sizeRelH relativeFrom="page">
              <wp14:pctWidth>0</wp14:pctWidth>
            </wp14:sizeRelH>
            <wp14:sizeRelV relativeFrom="page">
              <wp14:pctHeight>0</wp14:pctHeight>
            </wp14:sizeRelV>
          </wp:anchor>
        </w:drawing>
      </w:r>
    </w:p>
    <w:p w14:paraId="479BBBE7" w14:textId="77777777" w:rsidR="00000000" w:rsidRDefault="009E6CD7">
      <w:pPr>
        <w:pStyle w:val="Heading3"/>
      </w:pPr>
      <w:r>
        <w:t>An example of a fraud risk assessment (Payroll Function)</w:t>
      </w:r>
    </w:p>
    <w:p w14:paraId="3C845ED1" w14:textId="77777777" w:rsidR="00000000" w:rsidRDefault="009E6CD7"/>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0"/>
        <w:gridCol w:w="6758"/>
      </w:tblGrid>
      <w:tr w:rsidR="00000000" w14:paraId="615797E5" w14:textId="77777777">
        <w:tblPrEx>
          <w:tblCellMar>
            <w:top w:w="0" w:type="dxa"/>
            <w:bottom w:w="0" w:type="dxa"/>
          </w:tblCellMar>
        </w:tblPrEx>
        <w:tc>
          <w:tcPr>
            <w:tcW w:w="2350" w:type="dxa"/>
          </w:tcPr>
          <w:p w14:paraId="3D363FDC" w14:textId="77777777" w:rsidR="00000000" w:rsidRDefault="009E6CD7">
            <w:pPr>
              <w:rPr>
                <w:b/>
                <w:bCs/>
              </w:rPr>
            </w:pPr>
            <w:r>
              <w:rPr>
                <w:b/>
                <w:bCs/>
              </w:rPr>
              <w:t>Process/Opportunity</w:t>
            </w:r>
          </w:p>
        </w:tc>
        <w:tc>
          <w:tcPr>
            <w:tcW w:w="6758" w:type="dxa"/>
          </w:tcPr>
          <w:p w14:paraId="653C9CC8" w14:textId="77777777" w:rsidR="00000000" w:rsidRDefault="009E6CD7">
            <w:r>
              <w:t>Payroll</w:t>
            </w:r>
          </w:p>
        </w:tc>
      </w:tr>
      <w:tr w:rsidR="00000000" w14:paraId="2C7120D2" w14:textId="77777777">
        <w:tblPrEx>
          <w:tblCellMar>
            <w:top w:w="0" w:type="dxa"/>
            <w:bottom w:w="0" w:type="dxa"/>
          </w:tblCellMar>
        </w:tblPrEx>
        <w:tc>
          <w:tcPr>
            <w:tcW w:w="2350" w:type="dxa"/>
          </w:tcPr>
          <w:p w14:paraId="786B13F7" w14:textId="77777777" w:rsidR="00000000" w:rsidRDefault="009E6CD7">
            <w:pPr>
              <w:rPr>
                <w:b/>
                <w:bCs/>
              </w:rPr>
            </w:pPr>
            <w:r>
              <w:rPr>
                <w:b/>
                <w:bCs/>
              </w:rPr>
              <w:t>Fraud Exposure</w:t>
            </w:r>
          </w:p>
        </w:tc>
        <w:tc>
          <w:tcPr>
            <w:tcW w:w="6758" w:type="dxa"/>
          </w:tcPr>
          <w:p w14:paraId="3EE9DA86" w14:textId="77777777" w:rsidR="00000000" w:rsidRDefault="009E6CD7">
            <w:r>
              <w:t>Total amounts flowing through the payroll system annually (£57,429,000). To include deductions paid to authorities, along with employer related payments.</w:t>
            </w:r>
            <w:r>
              <w:t xml:space="preserve">   </w:t>
            </w:r>
          </w:p>
        </w:tc>
      </w:tr>
      <w:tr w:rsidR="00000000" w14:paraId="3AB745DA" w14:textId="77777777">
        <w:tblPrEx>
          <w:tblCellMar>
            <w:top w:w="0" w:type="dxa"/>
            <w:bottom w:w="0" w:type="dxa"/>
          </w:tblCellMar>
        </w:tblPrEx>
        <w:tc>
          <w:tcPr>
            <w:tcW w:w="2350" w:type="dxa"/>
          </w:tcPr>
          <w:p w14:paraId="0B04DF79" w14:textId="77777777" w:rsidR="00000000" w:rsidRDefault="009E6CD7">
            <w:pPr>
              <w:rPr>
                <w:b/>
                <w:bCs/>
              </w:rPr>
            </w:pPr>
            <w:r>
              <w:rPr>
                <w:b/>
                <w:bCs/>
              </w:rPr>
              <w:t>Comment on Fraud Risk</w:t>
            </w:r>
          </w:p>
        </w:tc>
        <w:tc>
          <w:tcPr>
            <w:tcW w:w="6758" w:type="dxa"/>
          </w:tcPr>
          <w:p w14:paraId="54FDEDDC" w14:textId="77777777" w:rsidR="00000000" w:rsidRDefault="009E6CD7">
            <w:r>
              <w:t>An internal risk of fraud associated with any payroll related payments including tax driven deductions. Specific risks are:</w:t>
            </w:r>
          </w:p>
          <w:p w14:paraId="2C9B0703" w14:textId="77777777" w:rsidR="00000000" w:rsidRDefault="009E6CD7">
            <w:pPr>
              <w:numPr>
                <w:ilvl w:val="0"/>
                <w:numId w:val="6"/>
              </w:numPr>
            </w:pPr>
            <w:r>
              <w:t>The creation of fictitious employees;</w:t>
            </w:r>
          </w:p>
          <w:p w14:paraId="5268BBC1" w14:textId="77777777" w:rsidR="00000000" w:rsidRDefault="009E6CD7">
            <w:pPr>
              <w:numPr>
                <w:ilvl w:val="0"/>
                <w:numId w:val="6"/>
              </w:numPr>
            </w:pPr>
            <w:r>
              <w:t>Payment in excess of entitlement to connected parties;</w:t>
            </w:r>
          </w:p>
          <w:p w14:paraId="16F7C7C3" w14:textId="77777777" w:rsidR="00000000" w:rsidRDefault="009E6CD7">
            <w:pPr>
              <w:numPr>
                <w:ilvl w:val="0"/>
                <w:numId w:val="6"/>
              </w:numPr>
            </w:pPr>
            <w:r>
              <w:t>Payments dir</w:t>
            </w:r>
            <w:r>
              <w:t xml:space="preserve">ected to fraudulent bank accounts; </w:t>
            </w:r>
          </w:p>
        </w:tc>
      </w:tr>
      <w:tr w:rsidR="00000000" w14:paraId="3BE0194D" w14:textId="77777777">
        <w:tblPrEx>
          <w:tblCellMar>
            <w:top w:w="0" w:type="dxa"/>
            <w:bottom w:w="0" w:type="dxa"/>
          </w:tblCellMar>
        </w:tblPrEx>
        <w:tc>
          <w:tcPr>
            <w:tcW w:w="2350" w:type="dxa"/>
          </w:tcPr>
          <w:p w14:paraId="23FF9703" w14:textId="77777777" w:rsidR="00000000" w:rsidRDefault="009E6CD7">
            <w:pPr>
              <w:rPr>
                <w:b/>
                <w:bCs/>
              </w:rPr>
            </w:pPr>
            <w:r>
              <w:rPr>
                <w:b/>
                <w:bCs/>
              </w:rPr>
              <w:t>Current Fraud Mitigation</w:t>
            </w:r>
          </w:p>
        </w:tc>
        <w:tc>
          <w:tcPr>
            <w:tcW w:w="6758" w:type="dxa"/>
          </w:tcPr>
          <w:p w14:paraId="1F510743" w14:textId="77777777" w:rsidR="00000000" w:rsidRDefault="009E6CD7">
            <w:pPr>
              <w:numPr>
                <w:ilvl w:val="0"/>
                <w:numId w:val="5"/>
              </w:numPr>
              <w:tabs>
                <w:tab w:val="clear" w:pos="780"/>
                <w:tab w:val="num" w:pos="252"/>
              </w:tabs>
              <w:ind w:left="252" w:hanging="252"/>
            </w:pPr>
            <w:r>
              <w:t>All changes to ‘Standing data’ are signed off by the payroll manager.</w:t>
            </w:r>
          </w:p>
          <w:p w14:paraId="02905F86" w14:textId="77777777" w:rsidR="00000000" w:rsidRDefault="009E6CD7">
            <w:pPr>
              <w:numPr>
                <w:ilvl w:val="0"/>
                <w:numId w:val="5"/>
              </w:numPr>
              <w:tabs>
                <w:tab w:val="clear" w:pos="780"/>
                <w:tab w:val="num" w:pos="252"/>
              </w:tabs>
              <w:ind w:left="252" w:hanging="252"/>
            </w:pPr>
            <w:r>
              <w:t>Quarterly reconciliation of tax and national insurance deductions to outgoing payments (to the relevant authority).</w:t>
            </w:r>
          </w:p>
          <w:p w14:paraId="77AD4469" w14:textId="77777777" w:rsidR="00000000" w:rsidRDefault="009E6CD7">
            <w:pPr>
              <w:numPr>
                <w:ilvl w:val="0"/>
                <w:numId w:val="5"/>
              </w:numPr>
              <w:tabs>
                <w:tab w:val="clear" w:pos="780"/>
                <w:tab w:val="num" w:pos="252"/>
              </w:tabs>
              <w:ind w:left="252" w:hanging="252"/>
            </w:pPr>
            <w:r>
              <w:t xml:space="preserve">Listing </w:t>
            </w:r>
            <w:r>
              <w:t>of new employees uploaded to standing data reconciled to HR new starter listing, confirmed outside the payroll function.</w:t>
            </w:r>
          </w:p>
          <w:p w14:paraId="4D265AD8" w14:textId="77777777" w:rsidR="00000000" w:rsidRDefault="009E6CD7">
            <w:pPr>
              <w:numPr>
                <w:ilvl w:val="0"/>
                <w:numId w:val="5"/>
              </w:numPr>
              <w:tabs>
                <w:tab w:val="clear" w:pos="780"/>
                <w:tab w:val="num" w:pos="252"/>
              </w:tabs>
              <w:ind w:left="252" w:hanging="252"/>
            </w:pPr>
            <w:r>
              <w:t>Check totals of all outgoing payroll payments, reconciled to expenditure reports sent to budget owners.</w:t>
            </w:r>
          </w:p>
          <w:p w14:paraId="5377F433" w14:textId="77777777" w:rsidR="00000000" w:rsidRDefault="009E6CD7">
            <w:pPr>
              <w:numPr>
                <w:ilvl w:val="0"/>
                <w:numId w:val="5"/>
              </w:numPr>
              <w:tabs>
                <w:tab w:val="clear" w:pos="780"/>
                <w:tab w:val="num" w:pos="252"/>
              </w:tabs>
              <w:ind w:left="252" w:hanging="252"/>
            </w:pPr>
            <w:r>
              <w:t xml:space="preserve"> Quarterly reconciliation of re</w:t>
            </w:r>
            <w:r>
              <w:t xml:space="preserve">ported staff costs to payment listing. All discrepancies reported outside payroll unit. </w:t>
            </w:r>
          </w:p>
        </w:tc>
      </w:tr>
      <w:tr w:rsidR="00000000" w14:paraId="58DE63CA" w14:textId="77777777">
        <w:tblPrEx>
          <w:tblCellMar>
            <w:top w:w="0" w:type="dxa"/>
            <w:bottom w:w="0" w:type="dxa"/>
          </w:tblCellMar>
        </w:tblPrEx>
        <w:tc>
          <w:tcPr>
            <w:tcW w:w="2350" w:type="dxa"/>
          </w:tcPr>
          <w:p w14:paraId="1F377179" w14:textId="77777777" w:rsidR="00000000" w:rsidRDefault="009E6CD7">
            <w:pPr>
              <w:rPr>
                <w:b/>
                <w:bCs/>
              </w:rPr>
            </w:pPr>
            <w:r>
              <w:rPr>
                <w:b/>
                <w:bCs/>
              </w:rPr>
              <w:t>Possible further action</w:t>
            </w:r>
          </w:p>
        </w:tc>
        <w:tc>
          <w:tcPr>
            <w:tcW w:w="6758" w:type="dxa"/>
          </w:tcPr>
          <w:p w14:paraId="2D08E1E9" w14:textId="77777777" w:rsidR="00000000" w:rsidRDefault="009E6CD7">
            <w:pPr>
              <w:numPr>
                <w:ilvl w:val="0"/>
                <w:numId w:val="5"/>
              </w:numPr>
              <w:tabs>
                <w:tab w:val="clear" w:pos="780"/>
                <w:tab w:val="num" w:pos="252"/>
              </w:tabs>
              <w:ind w:left="252" w:hanging="252"/>
            </w:pPr>
            <w:r>
              <w:t xml:space="preserve">Changes to ‘Standing data’ are reconciled to the forms signed by the payroll manager outside the Payroll department (Monthly). </w:t>
            </w:r>
          </w:p>
          <w:p w14:paraId="48CF6EE7" w14:textId="77777777" w:rsidR="00000000" w:rsidRDefault="009E6CD7">
            <w:pPr>
              <w:numPr>
                <w:ilvl w:val="0"/>
                <w:numId w:val="5"/>
              </w:numPr>
              <w:tabs>
                <w:tab w:val="clear" w:pos="780"/>
                <w:tab w:val="num" w:pos="252"/>
              </w:tabs>
              <w:ind w:left="252" w:hanging="252"/>
            </w:pPr>
            <w:r>
              <w:t>Vetting of all</w:t>
            </w:r>
            <w:r>
              <w:t xml:space="preserve"> payroll staff prior to appointment.</w:t>
            </w:r>
          </w:p>
        </w:tc>
      </w:tr>
      <w:tr w:rsidR="00000000" w14:paraId="3085456C" w14:textId="77777777">
        <w:tblPrEx>
          <w:tblCellMar>
            <w:top w:w="0" w:type="dxa"/>
            <w:bottom w:w="0" w:type="dxa"/>
          </w:tblCellMar>
        </w:tblPrEx>
        <w:tc>
          <w:tcPr>
            <w:tcW w:w="2350" w:type="dxa"/>
          </w:tcPr>
          <w:p w14:paraId="66A72E59" w14:textId="77777777" w:rsidR="00000000" w:rsidRDefault="009E6CD7">
            <w:pPr>
              <w:rPr>
                <w:b/>
                <w:bCs/>
              </w:rPr>
            </w:pPr>
            <w:r>
              <w:rPr>
                <w:b/>
                <w:bCs/>
              </w:rPr>
              <w:t>Operation</w:t>
            </w:r>
          </w:p>
        </w:tc>
        <w:tc>
          <w:tcPr>
            <w:tcW w:w="6758" w:type="dxa"/>
          </w:tcPr>
          <w:p w14:paraId="36A9F0BD" w14:textId="77777777" w:rsidR="00000000" w:rsidRDefault="009E6CD7">
            <w:r>
              <w:t>Fraud controls operate according to the parameters set above and detailed in ‘Current Fraud Mitigation’. Management last tested these operate as stated in April 2003. At that time all process checks listed ab</w:t>
            </w:r>
            <w:r>
              <w:t>ove were confirmed by Internal Audit.</w:t>
            </w:r>
          </w:p>
        </w:tc>
      </w:tr>
    </w:tbl>
    <w:p w14:paraId="03C51402" w14:textId="77777777" w:rsidR="00000000" w:rsidRDefault="009E6CD7"/>
    <w:p w14:paraId="3A9D470D" w14:textId="77777777" w:rsidR="00000000" w:rsidRDefault="009E6CD7">
      <w:r>
        <w:t xml:space="preserve">  </w:t>
      </w:r>
    </w:p>
    <w:p w14:paraId="3EBB8BA6" w14:textId="77777777" w:rsidR="00000000" w:rsidRDefault="009E6CD7"/>
    <w:p w14:paraId="3BE9358C" w14:textId="77777777" w:rsidR="00000000" w:rsidRDefault="009E6CD7">
      <w:pPr>
        <w:sectPr w:rsidR="00000000">
          <w:pgSz w:w="11906" w:h="16838"/>
          <w:pgMar w:top="1440" w:right="1800" w:bottom="1440" w:left="1800" w:header="708" w:footer="708" w:gutter="0"/>
          <w:cols w:space="708"/>
          <w:docGrid w:linePitch="360"/>
        </w:sectPr>
      </w:pPr>
    </w:p>
    <w:p w14:paraId="7CB81851" w14:textId="77777777" w:rsidR="00000000" w:rsidRDefault="00DE72B3">
      <w:pPr>
        <w:rPr>
          <w:b/>
          <w:bCs/>
        </w:rPr>
      </w:pPr>
      <w:r>
        <w:lastRenderedPageBreak/>
        <w:drawing>
          <wp:anchor distT="0" distB="0" distL="114300" distR="114300" simplePos="0" relativeHeight="251660288" behindDoc="1" locked="0" layoutInCell="1" allowOverlap="1" wp14:anchorId="41932731" wp14:editId="4553573F">
            <wp:simplePos x="0" y="0"/>
            <wp:positionH relativeFrom="column">
              <wp:posOffset>4914900</wp:posOffset>
            </wp:positionH>
            <wp:positionV relativeFrom="paragraph">
              <wp:posOffset>-685800</wp:posOffset>
            </wp:positionV>
            <wp:extent cx="1159510" cy="297486"/>
            <wp:effectExtent l="0" t="0" r="889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RC Logo.jpg"/>
                    <pic:cNvPicPr/>
                  </pic:nvPicPr>
                  <pic:blipFill>
                    <a:blip r:embed="rId7">
                      <a:extLst>
                        <a:ext uri="{28A0092B-C50C-407E-A947-70E740481C1C}">
                          <a14:useLocalDpi xmlns:a14="http://schemas.microsoft.com/office/drawing/2010/main" val="0"/>
                        </a:ext>
                      </a:extLst>
                    </a:blip>
                    <a:stretch>
                      <a:fillRect/>
                    </a:stretch>
                  </pic:blipFill>
                  <pic:spPr>
                    <a:xfrm>
                      <a:off x="0" y="0"/>
                      <a:ext cx="1159510" cy="297486"/>
                    </a:xfrm>
                    <a:prstGeom prst="rect">
                      <a:avLst/>
                    </a:prstGeom>
                  </pic:spPr>
                </pic:pic>
              </a:graphicData>
            </a:graphic>
            <wp14:sizeRelH relativeFrom="page">
              <wp14:pctWidth>0</wp14:pctWidth>
            </wp14:sizeRelH>
            <wp14:sizeRelV relativeFrom="page">
              <wp14:pctHeight>0</wp14:pctHeight>
            </wp14:sizeRelV>
          </wp:anchor>
        </w:drawing>
      </w:r>
      <w:r w:rsidR="009E6CD7">
        <w:rPr>
          <w:b/>
          <w:bCs/>
        </w:rPr>
        <w:t>Generic Fraud Risk and Controls</w:t>
      </w:r>
      <w:bookmarkStart w:id="0" w:name="_GoBack"/>
      <w:bookmarkEnd w:id="0"/>
    </w:p>
    <w:p w14:paraId="3D89E12C" w14:textId="77777777" w:rsidR="00000000" w:rsidRDefault="009E6CD7"/>
    <w:p w14:paraId="6D9037AA" w14:textId="77777777" w:rsidR="00000000" w:rsidRDefault="009E6CD7">
      <w:pPr>
        <w:numPr>
          <w:ilvl w:val="0"/>
          <w:numId w:val="8"/>
        </w:numPr>
        <w:rPr>
          <w:rFonts w:ascii="Arial" w:hAnsi="Arial" w:cs="Arial"/>
          <w:color w:val="000000"/>
          <w:sz w:val="22"/>
          <w:szCs w:val="23"/>
        </w:rPr>
      </w:pPr>
      <w:r>
        <w:rPr>
          <w:rFonts w:ascii="Arial" w:hAnsi="Arial" w:cs="Arial"/>
          <w:color w:val="000000"/>
          <w:sz w:val="22"/>
          <w:szCs w:val="23"/>
        </w:rPr>
        <w:t xml:space="preserve">It is a basic tenet that </w:t>
      </w:r>
      <w:r>
        <w:rPr>
          <w:rFonts w:ascii="Arial" w:hAnsi="Arial" w:cs="Arial"/>
          <w:b/>
          <w:bCs/>
          <w:color w:val="000000"/>
          <w:sz w:val="22"/>
          <w:szCs w:val="23"/>
        </w:rPr>
        <w:t>line management at all levels has to have the prime responsibility for deterring and detecting fraud.</w:t>
      </w:r>
    </w:p>
    <w:p w14:paraId="50B45710" w14:textId="77777777" w:rsidR="00000000" w:rsidRDefault="009E6CD7">
      <w:pPr>
        <w:ind w:left="360"/>
        <w:rPr>
          <w:rFonts w:ascii="Arial" w:hAnsi="Arial" w:cs="Arial"/>
          <w:color w:val="000000"/>
          <w:sz w:val="22"/>
          <w:szCs w:val="23"/>
        </w:rPr>
      </w:pPr>
    </w:p>
    <w:p w14:paraId="317CE6A4" w14:textId="77777777" w:rsidR="00000000" w:rsidRDefault="009E6CD7">
      <w:pPr>
        <w:numPr>
          <w:ilvl w:val="0"/>
          <w:numId w:val="8"/>
        </w:numPr>
        <w:rPr>
          <w:rFonts w:ascii="Arial" w:hAnsi="Arial" w:cs="Arial"/>
          <w:color w:val="000000"/>
          <w:sz w:val="22"/>
          <w:szCs w:val="23"/>
        </w:rPr>
      </w:pPr>
      <w:r>
        <w:rPr>
          <w:rFonts w:ascii="Arial" w:hAnsi="Arial" w:cs="Arial"/>
          <w:color w:val="000000"/>
          <w:sz w:val="22"/>
          <w:szCs w:val="23"/>
        </w:rPr>
        <w:t xml:space="preserve">The development of an overarching </w:t>
      </w:r>
      <w:r>
        <w:rPr>
          <w:rFonts w:ascii="Arial" w:hAnsi="Arial" w:cs="Arial"/>
          <w:b/>
          <w:bCs/>
          <w:color w:val="000000"/>
          <w:sz w:val="22"/>
          <w:szCs w:val="23"/>
        </w:rPr>
        <w:t>anti-fraud envir</w:t>
      </w:r>
      <w:r>
        <w:rPr>
          <w:rFonts w:ascii="Arial" w:hAnsi="Arial" w:cs="Arial"/>
          <w:b/>
          <w:bCs/>
          <w:color w:val="000000"/>
          <w:sz w:val="22"/>
          <w:szCs w:val="23"/>
        </w:rPr>
        <w:t xml:space="preserve">onment </w:t>
      </w:r>
      <w:r>
        <w:rPr>
          <w:rFonts w:ascii="Arial" w:hAnsi="Arial" w:cs="Arial"/>
          <w:color w:val="000000"/>
          <w:sz w:val="22"/>
          <w:szCs w:val="23"/>
        </w:rPr>
        <w:t xml:space="preserve">where fraud is not tolerated, perpetrators expect to be caught and punished and staff reporting fraud expect it to be properly dealt with, is as important as the control system itself. </w:t>
      </w:r>
      <w:r>
        <w:rPr>
          <w:rFonts w:ascii="Arial" w:hAnsi="Arial" w:cs="Arial"/>
          <w:b/>
          <w:bCs/>
          <w:color w:val="000000"/>
          <w:sz w:val="22"/>
          <w:szCs w:val="23"/>
        </w:rPr>
        <w:t>To this end managers should remind staff of their responsibiliti</w:t>
      </w:r>
      <w:r>
        <w:rPr>
          <w:rFonts w:ascii="Arial" w:hAnsi="Arial" w:cs="Arial"/>
          <w:b/>
          <w:bCs/>
          <w:color w:val="000000"/>
          <w:sz w:val="22"/>
          <w:szCs w:val="23"/>
        </w:rPr>
        <w:t xml:space="preserve">es under the Commission’s Fraud Policy and Response Plan. </w:t>
      </w:r>
    </w:p>
    <w:p w14:paraId="1FA8F5A6" w14:textId="77777777" w:rsidR="00000000" w:rsidRDefault="009E6CD7">
      <w:pPr>
        <w:rPr>
          <w:rFonts w:ascii="Arial" w:hAnsi="Arial" w:cs="Arial"/>
          <w:color w:val="000000"/>
          <w:sz w:val="22"/>
          <w:szCs w:val="23"/>
        </w:rPr>
      </w:pPr>
    </w:p>
    <w:p w14:paraId="2FE4B381" w14:textId="77777777" w:rsidR="00000000" w:rsidRDefault="009E6CD7">
      <w:pPr>
        <w:numPr>
          <w:ilvl w:val="0"/>
          <w:numId w:val="8"/>
        </w:numPr>
        <w:rPr>
          <w:rFonts w:ascii="Arial" w:hAnsi="Arial" w:cs="Arial"/>
          <w:color w:val="000000"/>
          <w:sz w:val="22"/>
          <w:szCs w:val="23"/>
        </w:rPr>
      </w:pPr>
      <w:r>
        <w:rPr>
          <w:rFonts w:ascii="Arial" w:hAnsi="Arial" w:cs="Arial"/>
          <w:color w:val="000000"/>
          <w:sz w:val="22"/>
          <w:szCs w:val="23"/>
        </w:rPr>
        <w:t xml:space="preserve">It is management’s responsibility to ensure their staff fully understand and apply controls. Any supervisor or management checks should be clearly </w:t>
      </w:r>
      <w:r>
        <w:rPr>
          <w:rFonts w:ascii="Arial" w:hAnsi="Arial" w:cs="Arial"/>
          <w:b/>
          <w:bCs/>
          <w:color w:val="000000"/>
          <w:sz w:val="22"/>
          <w:szCs w:val="23"/>
        </w:rPr>
        <w:t>evidenced</w:t>
      </w:r>
    </w:p>
    <w:p w14:paraId="73C7194D" w14:textId="77777777" w:rsidR="00000000" w:rsidRDefault="009E6CD7">
      <w:pPr>
        <w:rPr>
          <w:rFonts w:ascii="Arial" w:hAnsi="Arial" w:cs="Arial"/>
          <w:color w:val="000000"/>
          <w:sz w:val="22"/>
          <w:szCs w:val="23"/>
        </w:rPr>
      </w:pPr>
    </w:p>
    <w:p w14:paraId="38229D14" w14:textId="77777777" w:rsidR="00000000" w:rsidRDefault="009E6CD7">
      <w:pPr>
        <w:numPr>
          <w:ilvl w:val="0"/>
          <w:numId w:val="8"/>
        </w:numPr>
        <w:rPr>
          <w:rFonts w:ascii="Arial" w:hAnsi="Arial" w:cs="Arial"/>
          <w:sz w:val="22"/>
        </w:rPr>
      </w:pPr>
      <w:r>
        <w:rPr>
          <w:rFonts w:ascii="Arial" w:hAnsi="Arial" w:cs="Arial"/>
          <w:sz w:val="22"/>
          <w:szCs w:val="23"/>
        </w:rPr>
        <w:t>The organisation itself is going throu</w:t>
      </w:r>
      <w:r>
        <w:rPr>
          <w:rFonts w:ascii="Arial" w:hAnsi="Arial" w:cs="Arial"/>
          <w:sz w:val="22"/>
          <w:szCs w:val="23"/>
        </w:rPr>
        <w:t xml:space="preserve">gh a period of growth and structural change. This may result in a </w:t>
      </w:r>
      <w:r>
        <w:rPr>
          <w:rFonts w:ascii="Arial" w:hAnsi="Arial" w:cs="Arial"/>
          <w:b/>
          <w:bCs/>
          <w:sz w:val="22"/>
          <w:szCs w:val="23"/>
        </w:rPr>
        <w:t xml:space="preserve">higher than usual turnover </w:t>
      </w:r>
      <w:r>
        <w:rPr>
          <w:rFonts w:ascii="Arial" w:hAnsi="Arial" w:cs="Arial"/>
          <w:sz w:val="22"/>
          <w:szCs w:val="23"/>
        </w:rPr>
        <w:t xml:space="preserve">of permanent staff and the employment of a number of </w:t>
      </w:r>
      <w:r>
        <w:rPr>
          <w:rFonts w:ascii="Arial" w:hAnsi="Arial" w:cs="Arial"/>
          <w:b/>
          <w:bCs/>
          <w:sz w:val="22"/>
          <w:szCs w:val="23"/>
        </w:rPr>
        <w:t>temporary, untrained staff</w:t>
      </w:r>
      <w:r>
        <w:rPr>
          <w:rFonts w:ascii="Arial" w:hAnsi="Arial" w:cs="Arial"/>
          <w:sz w:val="22"/>
          <w:szCs w:val="23"/>
        </w:rPr>
        <w:t xml:space="preserve">. One consequence of this may be a </w:t>
      </w:r>
      <w:r>
        <w:rPr>
          <w:rFonts w:ascii="Arial" w:hAnsi="Arial" w:cs="Arial"/>
          <w:b/>
          <w:bCs/>
          <w:sz w:val="22"/>
          <w:szCs w:val="23"/>
        </w:rPr>
        <w:t xml:space="preserve">shortage of qualified or experienced personnel </w:t>
      </w:r>
      <w:r>
        <w:rPr>
          <w:rFonts w:ascii="Arial" w:hAnsi="Arial" w:cs="Arial"/>
          <w:sz w:val="22"/>
          <w:szCs w:val="23"/>
        </w:rPr>
        <w:t>to</w:t>
      </w:r>
      <w:r>
        <w:rPr>
          <w:rFonts w:ascii="Arial" w:hAnsi="Arial" w:cs="Arial"/>
          <w:sz w:val="22"/>
          <w:szCs w:val="23"/>
        </w:rPr>
        <w:t xml:space="preserve"> fill important posts. </w:t>
      </w:r>
      <w:r>
        <w:rPr>
          <w:rFonts w:ascii="Arial" w:hAnsi="Arial" w:cs="Arial"/>
          <w:color w:val="000000"/>
          <w:sz w:val="22"/>
          <w:szCs w:val="23"/>
        </w:rPr>
        <w:t xml:space="preserve">Provide </w:t>
      </w:r>
      <w:r>
        <w:rPr>
          <w:rFonts w:ascii="Arial" w:hAnsi="Arial" w:cs="Arial"/>
          <w:b/>
          <w:bCs/>
          <w:color w:val="000000"/>
          <w:sz w:val="22"/>
          <w:szCs w:val="23"/>
        </w:rPr>
        <w:t xml:space="preserve">adequate supervision </w:t>
      </w:r>
      <w:r>
        <w:rPr>
          <w:rFonts w:ascii="Arial" w:hAnsi="Arial" w:cs="Arial"/>
          <w:color w:val="000000"/>
          <w:sz w:val="22"/>
          <w:szCs w:val="23"/>
        </w:rPr>
        <w:t>of all staff particularly new, inexperienced or temporary staff.</w:t>
      </w:r>
    </w:p>
    <w:p w14:paraId="22F0D6B8" w14:textId="77777777" w:rsidR="00000000" w:rsidRDefault="009E6CD7">
      <w:pPr>
        <w:rPr>
          <w:rFonts w:ascii="Arial" w:hAnsi="Arial" w:cs="Arial"/>
          <w:color w:val="000000"/>
          <w:sz w:val="22"/>
          <w:szCs w:val="23"/>
        </w:rPr>
      </w:pPr>
    </w:p>
    <w:p w14:paraId="0C6A0B24" w14:textId="77777777" w:rsidR="00000000" w:rsidRDefault="009E6CD7">
      <w:pPr>
        <w:numPr>
          <w:ilvl w:val="0"/>
          <w:numId w:val="8"/>
        </w:numPr>
        <w:rPr>
          <w:rFonts w:ascii="Arial" w:hAnsi="Arial" w:cs="Arial"/>
          <w:b/>
          <w:bCs/>
          <w:color w:val="000000"/>
          <w:sz w:val="22"/>
          <w:szCs w:val="23"/>
        </w:rPr>
      </w:pPr>
      <w:r>
        <w:rPr>
          <w:rFonts w:ascii="Arial" w:hAnsi="Arial" w:cs="Arial"/>
          <w:color w:val="000000"/>
          <w:sz w:val="22"/>
          <w:szCs w:val="23"/>
        </w:rPr>
        <w:t>Many frauds are initially opportunistic and follow a breakdown in internal control or a failure to apply quite straightforward procedures.</w:t>
      </w:r>
      <w:r>
        <w:rPr>
          <w:rFonts w:ascii="Arial" w:hAnsi="Arial" w:cs="Arial"/>
          <w:color w:val="000000"/>
          <w:sz w:val="22"/>
          <w:szCs w:val="23"/>
        </w:rPr>
        <w:t xml:space="preserve"> A </w:t>
      </w:r>
      <w:r>
        <w:rPr>
          <w:rFonts w:ascii="Arial" w:hAnsi="Arial" w:cs="Arial"/>
          <w:b/>
          <w:bCs/>
          <w:color w:val="000000"/>
          <w:sz w:val="22"/>
          <w:szCs w:val="23"/>
        </w:rPr>
        <w:t xml:space="preserve">sound system of control is essential. </w:t>
      </w:r>
      <w:r>
        <w:rPr>
          <w:rFonts w:ascii="Arial" w:hAnsi="Arial" w:cs="Arial"/>
          <w:color w:val="000000"/>
          <w:sz w:val="22"/>
          <w:szCs w:val="23"/>
        </w:rPr>
        <w:t>This could include some (or all) of the following:</w:t>
      </w:r>
    </w:p>
    <w:p w14:paraId="5B3A23B1" w14:textId="77777777" w:rsidR="00000000" w:rsidRDefault="009E6CD7">
      <w:pPr>
        <w:rPr>
          <w:rFonts w:ascii="Arial" w:hAnsi="Arial" w:cs="Arial"/>
          <w:b/>
          <w:bCs/>
          <w:color w:val="000000"/>
          <w:sz w:val="22"/>
          <w:szCs w:val="23"/>
        </w:rPr>
      </w:pPr>
    </w:p>
    <w:p w14:paraId="60781F4E" w14:textId="77777777" w:rsidR="00000000" w:rsidRDefault="009E6CD7">
      <w:pPr>
        <w:numPr>
          <w:ilvl w:val="0"/>
          <w:numId w:val="7"/>
        </w:numPr>
        <w:rPr>
          <w:rFonts w:ascii="Arial" w:hAnsi="Arial" w:cs="Arial"/>
          <w:color w:val="000000"/>
          <w:sz w:val="22"/>
          <w:szCs w:val="23"/>
        </w:rPr>
      </w:pPr>
      <w:r>
        <w:rPr>
          <w:rFonts w:ascii="Arial" w:hAnsi="Arial" w:cs="Arial"/>
          <w:b/>
          <w:bCs/>
          <w:color w:val="000000"/>
          <w:sz w:val="22"/>
          <w:szCs w:val="23"/>
        </w:rPr>
        <w:t xml:space="preserve">Separation of duties </w:t>
      </w:r>
      <w:r>
        <w:rPr>
          <w:rFonts w:ascii="Arial" w:hAnsi="Arial" w:cs="Arial"/>
          <w:color w:val="000000"/>
          <w:sz w:val="22"/>
          <w:szCs w:val="23"/>
        </w:rPr>
        <w:t>at key stages of the process</w:t>
      </w:r>
    </w:p>
    <w:p w14:paraId="7B55E3A6" w14:textId="77777777" w:rsidR="00000000" w:rsidRDefault="009E6CD7">
      <w:pPr>
        <w:ind w:left="720"/>
        <w:rPr>
          <w:rFonts w:ascii="Arial" w:hAnsi="Arial" w:cs="Arial"/>
          <w:color w:val="000000"/>
          <w:sz w:val="22"/>
          <w:szCs w:val="23"/>
        </w:rPr>
      </w:pPr>
    </w:p>
    <w:p w14:paraId="290B6239" w14:textId="77777777" w:rsidR="00000000" w:rsidRDefault="009E6CD7">
      <w:pPr>
        <w:numPr>
          <w:ilvl w:val="0"/>
          <w:numId w:val="7"/>
        </w:numPr>
        <w:rPr>
          <w:rFonts w:ascii="Arial" w:hAnsi="Arial" w:cs="Arial"/>
          <w:color w:val="000000"/>
          <w:sz w:val="22"/>
          <w:szCs w:val="23"/>
        </w:rPr>
      </w:pPr>
      <w:r>
        <w:rPr>
          <w:rFonts w:ascii="Arial" w:hAnsi="Arial" w:cs="Arial"/>
          <w:color w:val="000000"/>
          <w:sz w:val="22"/>
          <w:szCs w:val="23"/>
        </w:rPr>
        <w:t xml:space="preserve">appropriate </w:t>
      </w:r>
      <w:r>
        <w:rPr>
          <w:rFonts w:ascii="Arial" w:hAnsi="Arial" w:cs="Arial"/>
          <w:b/>
          <w:bCs/>
          <w:color w:val="000000"/>
          <w:sz w:val="22"/>
          <w:szCs w:val="23"/>
        </w:rPr>
        <w:t>delegation of authorities</w:t>
      </w:r>
    </w:p>
    <w:p w14:paraId="34C3F58E" w14:textId="77777777" w:rsidR="00000000" w:rsidRDefault="009E6CD7">
      <w:pPr>
        <w:rPr>
          <w:rFonts w:ascii="Arial" w:hAnsi="Arial" w:cs="Arial"/>
          <w:color w:val="000000"/>
          <w:sz w:val="22"/>
          <w:szCs w:val="23"/>
        </w:rPr>
      </w:pPr>
    </w:p>
    <w:p w14:paraId="5CB0220D" w14:textId="77777777" w:rsidR="00000000" w:rsidRDefault="009E6CD7">
      <w:pPr>
        <w:numPr>
          <w:ilvl w:val="0"/>
          <w:numId w:val="7"/>
        </w:numPr>
        <w:rPr>
          <w:rFonts w:ascii="Arial" w:hAnsi="Arial" w:cs="Arial"/>
          <w:color w:val="000000"/>
          <w:sz w:val="22"/>
          <w:szCs w:val="23"/>
        </w:rPr>
      </w:pPr>
      <w:r>
        <w:rPr>
          <w:rFonts w:ascii="Arial" w:hAnsi="Arial" w:cs="Arial"/>
          <w:color w:val="000000"/>
          <w:sz w:val="22"/>
          <w:szCs w:val="23"/>
        </w:rPr>
        <w:t xml:space="preserve">regular </w:t>
      </w:r>
      <w:r>
        <w:rPr>
          <w:rFonts w:ascii="Arial" w:hAnsi="Arial" w:cs="Arial"/>
          <w:b/>
          <w:bCs/>
          <w:color w:val="000000"/>
          <w:sz w:val="22"/>
          <w:szCs w:val="23"/>
        </w:rPr>
        <w:t xml:space="preserve">and random </w:t>
      </w:r>
      <w:r>
        <w:rPr>
          <w:rFonts w:ascii="Arial" w:hAnsi="Arial" w:cs="Arial"/>
          <w:color w:val="000000"/>
          <w:sz w:val="22"/>
          <w:szCs w:val="23"/>
        </w:rPr>
        <w:t>line management checks of key decisions</w:t>
      </w:r>
    </w:p>
    <w:p w14:paraId="6C1721EA" w14:textId="77777777" w:rsidR="00000000" w:rsidRDefault="009E6CD7">
      <w:pPr>
        <w:ind w:left="720"/>
        <w:rPr>
          <w:rFonts w:ascii="Arial" w:hAnsi="Arial" w:cs="Arial"/>
          <w:color w:val="000000"/>
          <w:sz w:val="22"/>
          <w:szCs w:val="23"/>
        </w:rPr>
      </w:pPr>
    </w:p>
    <w:p w14:paraId="4E7CFC01" w14:textId="77777777" w:rsidR="00000000" w:rsidRDefault="009E6CD7">
      <w:pPr>
        <w:numPr>
          <w:ilvl w:val="0"/>
          <w:numId w:val="7"/>
        </w:numPr>
        <w:rPr>
          <w:rFonts w:ascii="Arial" w:hAnsi="Arial" w:cs="Arial"/>
          <w:color w:val="000000"/>
          <w:sz w:val="22"/>
          <w:szCs w:val="23"/>
        </w:rPr>
      </w:pPr>
      <w:r>
        <w:rPr>
          <w:rFonts w:ascii="Arial" w:hAnsi="Arial" w:cs="Arial"/>
          <w:b/>
          <w:bCs/>
          <w:color w:val="000000"/>
          <w:sz w:val="22"/>
          <w:szCs w:val="23"/>
        </w:rPr>
        <w:t xml:space="preserve">Rotate staff </w:t>
      </w:r>
      <w:r>
        <w:rPr>
          <w:rFonts w:ascii="Arial" w:hAnsi="Arial" w:cs="Arial"/>
          <w:b/>
          <w:bCs/>
          <w:color w:val="000000"/>
          <w:sz w:val="22"/>
          <w:szCs w:val="23"/>
        </w:rPr>
        <w:t xml:space="preserve"> </w:t>
      </w:r>
      <w:r>
        <w:rPr>
          <w:rFonts w:ascii="Arial" w:hAnsi="Arial" w:cs="Arial"/>
          <w:color w:val="000000"/>
          <w:sz w:val="22"/>
          <w:szCs w:val="23"/>
        </w:rPr>
        <w:t>in sensitive posts</w:t>
      </w:r>
    </w:p>
    <w:p w14:paraId="2BDC7EB7" w14:textId="77777777" w:rsidR="00000000" w:rsidRDefault="009E6CD7">
      <w:pPr>
        <w:ind w:left="720"/>
        <w:rPr>
          <w:rFonts w:ascii="Arial" w:hAnsi="Arial" w:cs="Arial"/>
          <w:color w:val="000000"/>
          <w:sz w:val="22"/>
          <w:szCs w:val="23"/>
        </w:rPr>
      </w:pPr>
    </w:p>
    <w:p w14:paraId="44F60FD7" w14:textId="77777777" w:rsidR="00000000" w:rsidRDefault="009E6CD7">
      <w:pPr>
        <w:numPr>
          <w:ilvl w:val="0"/>
          <w:numId w:val="7"/>
        </w:numPr>
        <w:rPr>
          <w:rFonts w:ascii="Arial" w:hAnsi="Arial" w:cs="Arial"/>
          <w:color w:val="000000"/>
          <w:sz w:val="22"/>
          <w:szCs w:val="23"/>
        </w:rPr>
      </w:pPr>
      <w:r>
        <w:rPr>
          <w:rFonts w:ascii="Arial" w:hAnsi="Arial" w:cs="Arial"/>
          <w:color w:val="000000"/>
          <w:sz w:val="22"/>
          <w:szCs w:val="23"/>
        </w:rPr>
        <w:t xml:space="preserve">Provide </w:t>
      </w:r>
      <w:r>
        <w:rPr>
          <w:rFonts w:ascii="Arial" w:hAnsi="Arial" w:cs="Arial"/>
          <w:b/>
          <w:bCs/>
          <w:color w:val="000000"/>
          <w:sz w:val="22"/>
          <w:szCs w:val="23"/>
        </w:rPr>
        <w:t xml:space="preserve">clear instructions </w:t>
      </w:r>
      <w:r>
        <w:rPr>
          <w:rFonts w:ascii="Arial" w:hAnsi="Arial" w:cs="Arial"/>
          <w:color w:val="000000"/>
          <w:sz w:val="22"/>
          <w:szCs w:val="23"/>
        </w:rPr>
        <w:t xml:space="preserve">about procedures </w:t>
      </w:r>
    </w:p>
    <w:p w14:paraId="2ECA9162" w14:textId="77777777" w:rsidR="00000000" w:rsidRDefault="009E6CD7">
      <w:pPr>
        <w:rPr>
          <w:rFonts w:ascii="Arial" w:hAnsi="Arial" w:cs="Arial"/>
          <w:color w:val="000000"/>
          <w:sz w:val="22"/>
          <w:szCs w:val="23"/>
        </w:rPr>
      </w:pPr>
    </w:p>
    <w:p w14:paraId="2C38341F" w14:textId="77777777" w:rsidR="00000000" w:rsidRDefault="009E6CD7">
      <w:pPr>
        <w:numPr>
          <w:ilvl w:val="0"/>
          <w:numId w:val="7"/>
        </w:numPr>
        <w:rPr>
          <w:rFonts w:ascii="Arial" w:hAnsi="Arial" w:cs="Arial"/>
          <w:color w:val="000000"/>
          <w:sz w:val="22"/>
          <w:szCs w:val="23"/>
        </w:rPr>
      </w:pPr>
      <w:r>
        <w:rPr>
          <w:rFonts w:ascii="Arial" w:hAnsi="Arial" w:cs="Arial"/>
          <w:color w:val="000000"/>
          <w:sz w:val="22"/>
          <w:szCs w:val="23"/>
        </w:rPr>
        <w:t>Conduct Quality Control to see if procedures are followed (particularly around key controls).</w:t>
      </w:r>
    </w:p>
    <w:p w14:paraId="033442BC" w14:textId="77777777" w:rsidR="00000000" w:rsidRDefault="009E6CD7">
      <w:pPr>
        <w:ind w:left="720"/>
        <w:rPr>
          <w:rFonts w:ascii="Arial" w:hAnsi="Arial" w:cs="Arial"/>
          <w:color w:val="000000"/>
          <w:sz w:val="22"/>
          <w:szCs w:val="23"/>
        </w:rPr>
      </w:pPr>
    </w:p>
    <w:p w14:paraId="06F0E5FD" w14:textId="77777777" w:rsidR="00000000" w:rsidRDefault="009E6CD7">
      <w:pPr>
        <w:numPr>
          <w:ilvl w:val="0"/>
          <w:numId w:val="7"/>
        </w:numPr>
        <w:rPr>
          <w:rFonts w:ascii="Arial" w:hAnsi="Arial" w:cs="Arial"/>
          <w:color w:val="000000"/>
          <w:sz w:val="22"/>
          <w:szCs w:val="23"/>
        </w:rPr>
      </w:pPr>
      <w:r>
        <w:rPr>
          <w:rFonts w:ascii="Arial" w:hAnsi="Arial" w:cs="Arial"/>
          <w:color w:val="000000"/>
          <w:sz w:val="22"/>
          <w:szCs w:val="23"/>
        </w:rPr>
        <w:t>Ensure management and staff clearly understand their responsibilities</w:t>
      </w:r>
      <w:r>
        <w:rPr>
          <w:rFonts w:ascii="Palatino-Roman" w:hAnsi="Palatino-Roman"/>
          <w:color w:val="3B3839"/>
          <w:sz w:val="19"/>
          <w:szCs w:val="19"/>
        </w:rPr>
        <w:t xml:space="preserve"> </w:t>
      </w:r>
    </w:p>
    <w:p w14:paraId="62B3DD86" w14:textId="77777777" w:rsidR="00000000" w:rsidRDefault="009E6CD7">
      <w:pPr>
        <w:rPr>
          <w:rFonts w:ascii="Arial" w:hAnsi="Arial" w:cs="Arial"/>
          <w:color w:val="000000"/>
          <w:sz w:val="22"/>
          <w:szCs w:val="23"/>
        </w:rPr>
      </w:pPr>
    </w:p>
    <w:p w14:paraId="29463A82" w14:textId="77777777" w:rsidR="00000000" w:rsidRDefault="009E6CD7">
      <w:pPr>
        <w:numPr>
          <w:ilvl w:val="0"/>
          <w:numId w:val="7"/>
        </w:numPr>
        <w:rPr>
          <w:rFonts w:ascii="Arial" w:hAnsi="Arial" w:cs="Arial"/>
          <w:color w:val="000000"/>
          <w:sz w:val="22"/>
          <w:szCs w:val="23"/>
        </w:rPr>
      </w:pPr>
      <w:r>
        <w:rPr>
          <w:rFonts w:ascii="Arial" w:hAnsi="Arial" w:cs="Arial"/>
          <w:color w:val="3B3839"/>
          <w:sz w:val="22"/>
          <w:szCs w:val="19"/>
        </w:rPr>
        <w:t xml:space="preserve">Budgetary and other </w:t>
      </w:r>
      <w:r>
        <w:rPr>
          <w:rFonts w:ascii="Arial" w:hAnsi="Arial" w:cs="Arial"/>
          <w:b/>
          <w:bCs/>
          <w:color w:val="3B3839"/>
          <w:sz w:val="22"/>
          <w:szCs w:val="19"/>
        </w:rPr>
        <w:t>fi</w:t>
      </w:r>
      <w:r>
        <w:rPr>
          <w:rFonts w:ascii="Arial" w:hAnsi="Arial" w:cs="Arial"/>
          <w:b/>
          <w:bCs/>
          <w:color w:val="3B3839"/>
          <w:sz w:val="22"/>
          <w:szCs w:val="19"/>
        </w:rPr>
        <w:t>nancial control</w:t>
      </w:r>
    </w:p>
    <w:p w14:paraId="063F59CF" w14:textId="77777777" w:rsidR="00000000" w:rsidRDefault="009E6CD7">
      <w:pPr>
        <w:rPr>
          <w:rFonts w:ascii="Arial" w:hAnsi="Arial" w:cs="Arial"/>
          <w:color w:val="000000"/>
          <w:sz w:val="22"/>
          <w:szCs w:val="23"/>
        </w:rPr>
      </w:pPr>
    </w:p>
    <w:p w14:paraId="4764FFBD" w14:textId="77777777" w:rsidR="00000000" w:rsidRDefault="009E6CD7">
      <w:pPr>
        <w:numPr>
          <w:ilvl w:val="0"/>
          <w:numId w:val="7"/>
        </w:numPr>
        <w:rPr>
          <w:rFonts w:ascii="Arial" w:hAnsi="Arial" w:cs="Arial"/>
          <w:color w:val="3B3839"/>
          <w:sz w:val="22"/>
          <w:szCs w:val="19"/>
        </w:rPr>
      </w:pPr>
      <w:r>
        <w:rPr>
          <w:rFonts w:ascii="Arial" w:hAnsi="Arial" w:cs="Arial"/>
          <w:color w:val="3B3839"/>
          <w:sz w:val="22"/>
          <w:szCs w:val="19"/>
        </w:rPr>
        <w:t xml:space="preserve">Monitoring of </w:t>
      </w:r>
      <w:r>
        <w:rPr>
          <w:rFonts w:ascii="Arial" w:hAnsi="Arial" w:cs="Arial"/>
          <w:b/>
          <w:bCs/>
          <w:color w:val="3B3839"/>
          <w:sz w:val="22"/>
          <w:szCs w:val="19"/>
        </w:rPr>
        <w:t>management information</w:t>
      </w:r>
    </w:p>
    <w:p w14:paraId="08B3CF94" w14:textId="77777777" w:rsidR="00000000" w:rsidRDefault="009E6CD7">
      <w:pPr>
        <w:rPr>
          <w:rFonts w:ascii="Arial" w:hAnsi="Arial" w:cs="Arial"/>
          <w:color w:val="3B3839"/>
          <w:sz w:val="22"/>
          <w:szCs w:val="19"/>
        </w:rPr>
      </w:pPr>
    </w:p>
    <w:p w14:paraId="752F130A" w14:textId="77777777" w:rsidR="00000000" w:rsidRDefault="009E6CD7">
      <w:pPr>
        <w:numPr>
          <w:ilvl w:val="0"/>
          <w:numId w:val="7"/>
        </w:numPr>
        <w:rPr>
          <w:rFonts w:ascii="Arial" w:hAnsi="Arial" w:cs="Arial"/>
          <w:color w:val="000000"/>
          <w:sz w:val="22"/>
          <w:szCs w:val="23"/>
        </w:rPr>
      </w:pPr>
      <w:r>
        <w:rPr>
          <w:rFonts w:ascii="Arial" w:hAnsi="Arial" w:cs="Arial"/>
          <w:b/>
          <w:bCs/>
          <w:color w:val="3B3839"/>
          <w:sz w:val="22"/>
          <w:szCs w:val="19"/>
        </w:rPr>
        <w:t>Independent reviews</w:t>
      </w:r>
      <w:r>
        <w:rPr>
          <w:rFonts w:ascii="Palatino-Roman" w:hAnsi="Palatino-Roman"/>
          <w:color w:val="3B3839"/>
          <w:sz w:val="19"/>
          <w:szCs w:val="19"/>
        </w:rPr>
        <w:t>.</w:t>
      </w:r>
    </w:p>
    <w:p w14:paraId="29FA6244" w14:textId="77777777" w:rsidR="00000000" w:rsidRDefault="009E6CD7">
      <w:pPr>
        <w:rPr>
          <w:rFonts w:ascii="Arial" w:hAnsi="Arial" w:cs="Arial"/>
          <w:color w:val="000000"/>
          <w:sz w:val="22"/>
          <w:szCs w:val="23"/>
        </w:rPr>
      </w:pPr>
    </w:p>
    <w:p w14:paraId="05989975" w14:textId="77777777" w:rsidR="00000000" w:rsidRDefault="009E6CD7">
      <w:pPr>
        <w:numPr>
          <w:ilvl w:val="0"/>
          <w:numId w:val="8"/>
        </w:numPr>
        <w:rPr>
          <w:rFonts w:ascii="Arial" w:hAnsi="Arial" w:cs="Arial"/>
          <w:sz w:val="22"/>
        </w:rPr>
      </w:pPr>
      <w:r>
        <w:rPr>
          <w:rFonts w:ascii="Arial" w:hAnsi="Arial" w:cs="Arial"/>
          <w:sz w:val="22"/>
        </w:rPr>
        <w:t>Situations involving expenditure including purchasing, presents a number of risks. Over reliance on one person and poor physical control over computers and purchasing documents co</w:t>
      </w:r>
      <w:r>
        <w:rPr>
          <w:rFonts w:ascii="Arial" w:hAnsi="Arial" w:cs="Arial"/>
          <w:sz w:val="22"/>
        </w:rPr>
        <w:t>mpound the risks.</w:t>
      </w:r>
    </w:p>
    <w:p w14:paraId="4A43CD4F" w14:textId="77777777" w:rsidR="00000000" w:rsidRDefault="009E6CD7"/>
    <w:p w14:paraId="26282532" w14:textId="77777777" w:rsidR="009E6CD7" w:rsidRDefault="009E6CD7">
      <w:r>
        <w:t xml:space="preserve">   </w:t>
      </w:r>
    </w:p>
    <w:sectPr w:rsidR="009E6C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F9F26" w14:textId="77777777" w:rsidR="009E6CD7" w:rsidRDefault="009E6CD7" w:rsidP="00DE72B3">
      <w:r>
        <w:separator/>
      </w:r>
    </w:p>
  </w:endnote>
  <w:endnote w:type="continuationSeparator" w:id="0">
    <w:p w14:paraId="43D8F019" w14:textId="77777777" w:rsidR="009E6CD7" w:rsidRDefault="009E6CD7" w:rsidP="00DE7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Palatino-Roman">
    <w:charset w:val="00"/>
    <w:family w:val="auto"/>
    <w:pitch w:val="variable"/>
    <w:sig w:usb0="A00002FF" w:usb1="7800205A" w:usb2="14600000" w:usb3="00000000" w:csb0="00000193"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CC216" w14:textId="77777777" w:rsidR="009E6CD7" w:rsidRDefault="009E6CD7" w:rsidP="00DE72B3">
      <w:r>
        <w:separator/>
      </w:r>
    </w:p>
  </w:footnote>
  <w:footnote w:type="continuationSeparator" w:id="0">
    <w:p w14:paraId="3388EDF2" w14:textId="77777777" w:rsidR="009E6CD7" w:rsidRDefault="009E6CD7" w:rsidP="00DE72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B6D2B"/>
    <w:multiLevelType w:val="hybridMultilevel"/>
    <w:tmpl w:val="CD827F76"/>
    <w:lvl w:ilvl="0" w:tplc="A6CEB6FA">
      <w:start w:val="1"/>
      <w:numFmt w:val="bullet"/>
      <w:lvlText w:val=""/>
      <w:lvlJc w:val="left"/>
      <w:pPr>
        <w:tabs>
          <w:tab w:val="num" w:pos="780"/>
        </w:tabs>
        <w:ind w:left="7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F3659B"/>
    <w:multiLevelType w:val="hybridMultilevel"/>
    <w:tmpl w:val="89564980"/>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7927E12"/>
    <w:multiLevelType w:val="hybridMultilevel"/>
    <w:tmpl w:val="93EE7460"/>
    <w:lvl w:ilvl="0" w:tplc="A6CEB6FA">
      <w:start w:val="1"/>
      <w:numFmt w:val="bullet"/>
      <w:lvlText w:val=""/>
      <w:lvlJc w:val="left"/>
      <w:pPr>
        <w:tabs>
          <w:tab w:val="num" w:pos="780"/>
        </w:tabs>
        <w:ind w:left="7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806299"/>
    <w:multiLevelType w:val="hybridMultilevel"/>
    <w:tmpl w:val="B630C7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EE21F7"/>
    <w:multiLevelType w:val="hybridMultilevel"/>
    <w:tmpl w:val="7AA23B68"/>
    <w:lvl w:ilvl="0" w:tplc="A6CEB6FA">
      <w:start w:val="1"/>
      <w:numFmt w:val="bullet"/>
      <w:lvlText w:val=""/>
      <w:lvlJc w:val="left"/>
      <w:pPr>
        <w:tabs>
          <w:tab w:val="num" w:pos="780"/>
        </w:tabs>
        <w:ind w:left="7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5D2610"/>
    <w:multiLevelType w:val="hybridMultilevel"/>
    <w:tmpl w:val="D79039D4"/>
    <w:lvl w:ilvl="0" w:tplc="A91284C6">
      <w:start w:val="1"/>
      <w:numFmt w:val="bullet"/>
      <w:lvlText w:val=""/>
      <w:lvlJc w:val="left"/>
      <w:pPr>
        <w:tabs>
          <w:tab w:val="num" w:pos="780"/>
        </w:tabs>
        <w:ind w:left="7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212310"/>
    <w:multiLevelType w:val="hybridMultilevel"/>
    <w:tmpl w:val="92E85A5A"/>
    <w:lvl w:ilvl="0" w:tplc="A6CEB6FA">
      <w:start w:val="1"/>
      <w:numFmt w:val="bullet"/>
      <w:lvlText w:val=""/>
      <w:lvlJc w:val="left"/>
      <w:pPr>
        <w:tabs>
          <w:tab w:val="num" w:pos="780"/>
        </w:tabs>
        <w:ind w:left="7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A05B6B"/>
    <w:multiLevelType w:val="hybridMultilevel"/>
    <w:tmpl w:val="D54451B8"/>
    <w:lvl w:ilvl="0" w:tplc="A91284C6">
      <w:start w:val="1"/>
      <w:numFmt w:val="bullet"/>
      <w:lvlText w:val=""/>
      <w:lvlJc w:val="left"/>
      <w:pPr>
        <w:tabs>
          <w:tab w:val="num" w:pos="780"/>
        </w:tabs>
        <w:ind w:left="7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2B3"/>
    <w:rsid w:val="009E6CD7"/>
    <w:rsid w:val="00DE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ED32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jc w:val="both"/>
      <w:outlineLvl w:val="2"/>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Header">
    <w:name w:val="header"/>
    <w:basedOn w:val="Normal"/>
    <w:link w:val="HeaderChar"/>
    <w:uiPriority w:val="99"/>
    <w:unhideWhenUsed/>
    <w:rsid w:val="00DE72B3"/>
    <w:pPr>
      <w:tabs>
        <w:tab w:val="center" w:pos="4513"/>
        <w:tab w:val="right" w:pos="9026"/>
      </w:tabs>
    </w:pPr>
  </w:style>
  <w:style w:type="character" w:customStyle="1" w:styleId="HeaderChar">
    <w:name w:val="Header Char"/>
    <w:basedOn w:val="DefaultParagraphFont"/>
    <w:link w:val="Header"/>
    <w:uiPriority w:val="99"/>
    <w:rsid w:val="00DE72B3"/>
    <w:rPr>
      <w:noProof/>
      <w:sz w:val="24"/>
      <w:szCs w:val="24"/>
    </w:rPr>
  </w:style>
  <w:style w:type="paragraph" w:styleId="Footer">
    <w:name w:val="footer"/>
    <w:basedOn w:val="Normal"/>
    <w:link w:val="FooterChar"/>
    <w:uiPriority w:val="99"/>
    <w:unhideWhenUsed/>
    <w:rsid w:val="00DE72B3"/>
    <w:pPr>
      <w:tabs>
        <w:tab w:val="center" w:pos="4513"/>
        <w:tab w:val="right" w:pos="9026"/>
      </w:tabs>
    </w:pPr>
  </w:style>
  <w:style w:type="character" w:customStyle="1" w:styleId="FooterChar">
    <w:name w:val="Footer Char"/>
    <w:basedOn w:val="DefaultParagraphFont"/>
    <w:link w:val="Footer"/>
    <w:uiPriority w:val="99"/>
    <w:rsid w:val="00DE72B3"/>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526</Words>
  <Characters>3083</Characters>
  <Application>Microsoft Macintosh Word</Application>
  <DocSecurity>0</DocSecurity>
  <Lines>96</Lines>
  <Paragraphs>44</Paragraphs>
  <ScaleCrop>false</ScaleCrop>
  <HeadingPairs>
    <vt:vector size="2" baseType="variant">
      <vt:variant>
        <vt:lpstr>Title</vt:lpstr>
      </vt:variant>
      <vt:variant>
        <vt:i4>1</vt:i4>
      </vt:variant>
    </vt:vector>
  </HeadingPairs>
  <TitlesOfParts>
    <vt:vector size="1" baseType="lpstr">
      <vt:lpstr>Fraud Risk Assessment</vt:lpstr>
    </vt:vector>
  </TitlesOfParts>
  <Manager/>
  <Company/>
  <LinksUpToDate>false</LinksUpToDate>
  <CharactersWithSpaces>3565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Fraud Risk Assessment</dc:title>
  <dc:subject/>
  <dc:creator>FMRC</dc:creator>
  <cp:keywords/>
  <dc:description/>
  <cp:lastModifiedBy>Neil Tyson</cp:lastModifiedBy>
  <cp:revision>2</cp:revision>
  <cp:lastPrinted>2007-02-19T08:36:00Z</cp:lastPrinted>
  <dcterms:created xsi:type="dcterms:W3CDTF">2016-06-12T19:54:00Z</dcterms:created>
  <dcterms:modified xsi:type="dcterms:W3CDTF">2016-06-12T19:54:00Z</dcterms:modified>
  <cp:category/>
</cp:coreProperties>
</file>